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E06AD0D"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1051">
        <w:rPr>
          <w:rFonts w:cs="Arial"/>
          <w:bCs/>
          <w:sz w:val="28"/>
        </w:rPr>
        <w:t>#104</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7B4A25">
        <w:rPr>
          <w:rFonts w:eastAsia="MS Mincho" w:cs="Arial"/>
          <w:bCs/>
          <w:sz w:val="28"/>
          <w:szCs w:val="24"/>
          <w:lang w:val="en-US"/>
        </w:rPr>
        <w:t>0602</w:t>
      </w:r>
    </w:p>
    <w:p w14:paraId="6D9A9A80" w14:textId="3B0730B7" w:rsidR="006517D0" w:rsidRPr="009A4147" w:rsidRDefault="00F31051"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00A1447D" w:rsidRPr="00B5587F">
        <w:rPr>
          <w:rFonts w:cs="Arial"/>
          <w:bCs/>
          <w:sz w:val="28"/>
        </w:rPr>
        <w:t>,</w:t>
      </w:r>
      <w:r w:rsidR="00A1447D">
        <w:rPr>
          <w:rFonts w:cs="Arial"/>
          <w:bCs/>
          <w:sz w:val="28"/>
        </w:rPr>
        <w:t xml:space="preserve"> 202</w:t>
      </w:r>
      <w:r>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B6E1CDE"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B4A25">
        <w:rPr>
          <w:rFonts w:cs="Arial"/>
          <w:bCs/>
          <w:sz w:val="28"/>
          <w:szCs w:val="24"/>
          <w:lang w:val="en-US" w:eastAsia="zh-TW"/>
        </w:rPr>
        <w:t>8.15.3</w:t>
      </w:r>
    </w:p>
    <w:p w14:paraId="535CFB2C" w14:textId="035A1D7C"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r w:rsidR="00806843">
        <w:rPr>
          <w:rFonts w:eastAsia="MS Mincho" w:cs="Arial"/>
          <w:bCs/>
          <w:sz w:val="28"/>
          <w:szCs w:val="24"/>
          <w:lang w:val="en-US"/>
        </w:rPr>
        <w:t>, Eutelsat</w:t>
      </w:r>
    </w:p>
    <w:p w14:paraId="574EED62" w14:textId="641D419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7B4A25">
        <w:rPr>
          <w:rFonts w:cs="Arial"/>
          <w:bCs/>
          <w:sz w:val="28"/>
          <w:szCs w:val="24"/>
          <w:lang w:val="en-US" w:eastAsia="zh-TW"/>
        </w:rPr>
        <w:t>IoT-IoT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529C3D96" w:rsidR="00BF2247" w:rsidRDefault="007B4A25"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7B4A25">
        <w:rPr>
          <w:rFonts w:ascii="Times New Roman" w:hAnsi="Times New Roman"/>
          <w:b w:val="0"/>
          <w:bCs/>
          <w:sz w:val="20"/>
          <w:lang w:val="en-US" w:eastAsia="zh-TW"/>
        </w:rPr>
        <w:t xml:space="preserve">At the RAN#86 meeting, a new Study Item was approved for IoT Non Terrestrial Network (NTN) [1]. In this contribution, we make observations and proposals for </w:t>
      </w:r>
      <w:r>
        <w:rPr>
          <w:rFonts w:ascii="Times New Roman" w:hAnsi="Times New Roman"/>
          <w:b w:val="0"/>
          <w:bCs/>
          <w:sz w:val="20"/>
          <w:lang w:val="en-US" w:eastAsia="zh-TW"/>
        </w:rPr>
        <w:t>timing enhancements</w:t>
      </w:r>
      <w:r w:rsidRPr="007B4A25">
        <w:rPr>
          <w:rFonts w:ascii="Times New Roman" w:hAnsi="Times New Roman"/>
          <w:b w:val="0"/>
          <w:bCs/>
          <w:sz w:val="20"/>
          <w:lang w:val="en-US" w:eastAsia="zh-TW"/>
        </w:rPr>
        <w:t xml:space="preserve"> to support NB-IoT and eMTC over satellite</w:t>
      </w:r>
      <w:r w:rsidR="00BF2247">
        <w:rPr>
          <w:rFonts w:ascii="Times New Roman" w:hAnsi="Times New Roman"/>
          <w:b w:val="0"/>
          <w:bCs/>
          <w:sz w:val="20"/>
          <w:lang w:val="en-US" w:eastAsia="zh-TW"/>
        </w:rPr>
        <w:t>.</w:t>
      </w:r>
    </w:p>
    <w:p w14:paraId="7DA0867A" w14:textId="2BD777F4" w:rsidR="00C116E7" w:rsidRPr="00FE0E3F" w:rsidRDefault="00F5713C" w:rsidP="00F5713C">
      <w:pPr>
        <w:pStyle w:val="Heading1"/>
      </w:pPr>
      <w:bookmarkStart w:id="2" w:name="_Ref481671177"/>
      <w:r w:rsidRPr="00F5713C">
        <w:rPr>
          <w:rFonts w:cs="Arial"/>
        </w:rPr>
        <w:t>Configuration of K</w:t>
      </w:r>
      <w:r w:rsidR="000635FA">
        <w:rPr>
          <w:rFonts w:cs="Arial"/>
        </w:rPr>
        <w:t>_offset in initial access</w:t>
      </w:r>
      <w:r w:rsidRPr="00F5713C">
        <w:rPr>
          <w:rFonts w:cs="Arial"/>
        </w:rPr>
        <w:t xml:space="preserve"> </w:t>
      </w:r>
      <w:r>
        <w:rPr>
          <w:rFonts w:cs="Arial"/>
        </w:rPr>
        <w:t xml:space="preserve">  </w:t>
      </w:r>
    </w:p>
    <w:p w14:paraId="3844E4EC" w14:textId="31E1114D" w:rsidR="00F31051" w:rsidRDefault="00500DF1" w:rsidP="00F31051">
      <w:pPr>
        <w:pStyle w:val="BodyText"/>
      </w:pPr>
      <w:r>
        <w:t xml:space="preserve">RAN1#102e and </w:t>
      </w:r>
      <w:r w:rsidR="00F31051">
        <w:t>RAN1#103e made the following agreements</w:t>
      </w:r>
      <w:r>
        <w:t xml:space="preserve"> for NR NTN</w:t>
      </w:r>
      <w:r w:rsidR="00F31051">
        <w:t>:</w:t>
      </w:r>
    </w:p>
    <w:p w14:paraId="73346A6C" w14:textId="77777777" w:rsidR="00500DF1" w:rsidRPr="001F01B4" w:rsidRDefault="00500DF1" w:rsidP="00500DF1">
      <w:pPr>
        <w:pStyle w:val="BodyText"/>
        <w:rPr>
          <w:i/>
        </w:rPr>
      </w:pPr>
      <w:r w:rsidRPr="001F01B4">
        <w:rPr>
          <w:i/>
        </w:rPr>
        <w:t>Introduce K_offset to enhance the following timing relationships:</w:t>
      </w:r>
    </w:p>
    <w:p w14:paraId="6876E8DE" w14:textId="77777777" w:rsidR="00500DF1" w:rsidRPr="001F01B4" w:rsidRDefault="00500DF1" w:rsidP="00500DF1">
      <w:pPr>
        <w:pStyle w:val="BodyText"/>
        <w:numPr>
          <w:ilvl w:val="0"/>
          <w:numId w:val="13"/>
        </w:numPr>
        <w:rPr>
          <w:i/>
        </w:rPr>
      </w:pPr>
      <w:r w:rsidRPr="001F01B4">
        <w:rPr>
          <w:i/>
        </w:rPr>
        <w:t>The transmission timing of DCI scheduled PUSCH (including CSI on PUSCH).</w:t>
      </w:r>
    </w:p>
    <w:p w14:paraId="690F60A3" w14:textId="77777777" w:rsidR="00500DF1" w:rsidRPr="001F01B4" w:rsidRDefault="00500DF1" w:rsidP="00500DF1">
      <w:pPr>
        <w:pStyle w:val="BodyText"/>
        <w:numPr>
          <w:ilvl w:val="0"/>
          <w:numId w:val="13"/>
        </w:numPr>
        <w:rPr>
          <w:i/>
        </w:rPr>
      </w:pPr>
      <w:r w:rsidRPr="001F01B4">
        <w:rPr>
          <w:i/>
        </w:rPr>
        <w:t>The transmission timing of RAR grant scheduled PUSCH.</w:t>
      </w:r>
    </w:p>
    <w:p w14:paraId="58935168" w14:textId="77777777" w:rsidR="00500DF1" w:rsidRPr="001F01B4" w:rsidRDefault="00500DF1" w:rsidP="00500DF1">
      <w:pPr>
        <w:pStyle w:val="BodyText"/>
        <w:numPr>
          <w:ilvl w:val="0"/>
          <w:numId w:val="13"/>
        </w:numPr>
        <w:rPr>
          <w:i/>
        </w:rPr>
      </w:pPr>
      <w:r w:rsidRPr="001F01B4">
        <w:rPr>
          <w:i/>
        </w:rPr>
        <w:t>The transmission timing of HARQ-ACK on PUCCH.</w:t>
      </w:r>
    </w:p>
    <w:p w14:paraId="5252DFC6" w14:textId="77777777" w:rsidR="00500DF1" w:rsidRPr="001F01B4" w:rsidRDefault="00500DF1" w:rsidP="00500DF1">
      <w:pPr>
        <w:pStyle w:val="BodyText"/>
        <w:numPr>
          <w:ilvl w:val="0"/>
          <w:numId w:val="13"/>
        </w:numPr>
        <w:rPr>
          <w:i/>
        </w:rPr>
      </w:pPr>
      <w:r w:rsidRPr="001F01B4">
        <w:rPr>
          <w:i/>
        </w:rPr>
        <w:t>The CSI reference resource timing.</w:t>
      </w:r>
    </w:p>
    <w:p w14:paraId="226174CA" w14:textId="505F932F" w:rsidR="00500DF1" w:rsidRPr="001F01B4" w:rsidRDefault="00500DF1" w:rsidP="00500DF1">
      <w:pPr>
        <w:pStyle w:val="BodyText"/>
        <w:numPr>
          <w:ilvl w:val="0"/>
          <w:numId w:val="13"/>
        </w:numPr>
        <w:rPr>
          <w:i/>
        </w:rPr>
      </w:pPr>
      <w:r w:rsidRPr="001F01B4">
        <w:rPr>
          <w:i/>
        </w:rPr>
        <w:t>The transmission timing of aperiodic SRS.</w:t>
      </w:r>
    </w:p>
    <w:p w14:paraId="7EBBF1B4" w14:textId="77777777" w:rsidR="00F31051" w:rsidRPr="00F31051" w:rsidRDefault="00F31051" w:rsidP="00500DF1">
      <w:pPr>
        <w:spacing w:after="0"/>
        <w:rPr>
          <w:i/>
          <w:lang w:eastAsia="x-none"/>
        </w:rPr>
      </w:pPr>
      <w:r w:rsidRPr="00F31051">
        <w:rPr>
          <w:i/>
          <w:lang w:eastAsia="x-none"/>
        </w:rPr>
        <w:t>For K_offset configured in system information and used in initial access, at least a cell specific K_offset configuration, which is used in all beams of a cell, should be supported.</w:t>
      </w:r>
    </w:p>
    <w:p w14:paraId="0B349056" w14:textId="4C139956" w:rsidR="00F31051" w:rsidRPr="00500DF1" w:rsidRDefault="00F31051" w:rsidP="00500DF1">
      <w:pPr>
        <w:pStyle w:val="ListParagraph"/>
        <w:numPr>
          <w:ilvl w:val="0"/>
          <w:numId w:val="12"/>
        </w:numPr>
        <w:spacing w:after="0"/>
        <w:rPr>
          <w:i/>
          <w:lang w:eastAsia="x-none"/>
        </w:rPr>
      </w:pPr>
      <w:r w:rsidRPr="00500DF1">
        <w:rPr>
          <w:i/>
          <w:lang w:eastAsia="x-none"/>
        </w:rPr>
        <w:t>FFS: Beam specific K_offset configured in system information and used in initial access.</w:t>
      </w:r>
    </w:p>
    <w:p w14:paraId="1092A061" w14:textId="77777777" w:rsidR="00C57882" w:rsidRDefault="00C57882" w:rsidP="009763F1">
      <w:pPr>
        <w:pStyle w:val="BodyText"/>
        <w:rPr>
          <w:color w:val="000000"/>
        </w:rPr>
      </w:pPr>
    </w:p>
    <w:p w14:paraId="677070A7" w14:textId="69E56E31" w:rsidR="009763F1" w:rsidRDefault="001F01B4" w:rsidP="009763F1">
      <w:pPr>
        <w:pStyle w:val="BodyText"/>
        <w:rPr>
          <w:color w:val="000000"/>
        </w:rPr>
      </w:pPr>
      <w:r>
        <w:rPr>
          <w:color w:val="000000"/>
        </w:rPr>
        <w:t>In NB-IoT or eMTC, there is no transmission of aperiodic SRS</w:t>
      </w:r>
      <w:r w:rsidR="009763F1">
        <w:rPr>
          <w:color w:val="000000"/>
        </w:rPr>
        <w:t>, and there is no CSI RS</w:t>
      </w:r>
      <w:r>
        <w:rPr>
          <w:color w:val="000000"/>
        </w:rPr>
        <w:t xml:space="preserve">. </w:t>
      </w:r>
      <w:r w:rsidR="00500DF1">
        <w:rPr>
          <w:lang w:eastAsia="ko-KR"/>
        </w:rPr>
        <w:t>Th</w:t>
      </w:r>
      <w:r>
        <w:rPr>
          <w:lang w:eastAsia="ko-KR"/>
        </w:rPr>
        <w:t xml:space="preserve">e agreement on timing relationships for Koffset in NR NTN can apply </w:t>
      </w:r>
      <w:r w:rsidR="00500DF1">
        <w:rPr>
          <w:lang w:eastAsia="ko-KR"/>
        </w:rPr>
        <w:t>for NB-IoT and eMTC</w:t>
      </w:r>
      <w:r>
        <w:rPr>
          <w:lang w:eastAsia="ko-KR"/>
        </w:rPr>
        <w:t xml:space="preserve"> </w:t>
      </w:r>
      <w:r>
        <w:rPr>
          <w:color w:val="000000"/>
        </w:rPr>
        <w:t xml:space="preserve">for the </w:t>
      </w:r>
      <w:r w:rsidR="00500DF1" w:rsidRPr="00500DF1">
        <w:rPr>
          <w:color w:val="000000"/>
        </w:rPr>
        <w:t>DCI scheduled PUSCH</w:t>
      </w:r>
      <w:r w:rsidR="00500DF1">
        <w:rPr>
          <w:color w:val="000000"/>
        </w:rPr>
        <w:t xml:space="preserve"> </w:t>
      </w:r>
      <w:r w:rsidR="00A54C06">
        <w:rPr>
          <w:color w:val="000000"/>
        </w:rPr>
        <w:t xml:space="preserve">and </w:t>
      </w:r>
      <w:r w:rsidR="00500DF1" w:rsidRPr="00500DF1">
        <w:rPr>
          <w:color w:val="000000"/>
        </w:rPr>
        <w:t>RAR grant scheduled PUSCH</w:t>
      </w:r>
      <w:r w:rsidR="00C57882">
        <w:rPr>
          <w:color w:val="000000"/>
        </w:rPr>
        <w:t xml:space="preserve"> as is further discussed below:</w:t>
      </w:r>
      <w:r w:rsidR="00500DF1">
        <w:rPr>
          <w:color w:val="000000"/>
        </w:rPr>
        <w:t xml:space="preserve"> </w:t>
      </w:r>
    </w:p>
    <w:p w14:paraId="6BD7DA56" w14:textId="77777777" w:rsidR="00543D3D" w:rsidRDefault="00C57882" w:rsidP="00C57882">
      <w:pPr>
        <w:pStyle w:val="BodyText"/>
        <w:rPr>
          <w:color w:val="000000"/>
          <w:u w:val="single"/>
        </w:rPr>
      </w:pPr>
      <w:r w:rsidRPr="00C57882">
        <w:rPr>
          <w:color w:val="000000"/>
          <w:u w:val="single"/>
        </w:rPr>
        <w:t>UL Grant for NPUSCH Format 1</w:t>
      </w:r>
      <w:r>
        <w:rPr>
          <w:color w:val="000000"/>
          <w:u w:val="single"/>
        </w:rPr>
        <w:t xml:space="preserve">: </w:t>
      </w:r>
      <w:r>
        <w:rPr>
          <w:color w:val="000000"/>
        </w:rPr>
        <w:t xml:space="preserve">This case is illustrated in Figure 1. A </w:t>
      </w:r>
      <w:r w:rsidRPr="00C57882">
        <w:rPr>
          <w:color w:val="000000"/>
        </w:rPr>
        <w:t>UE needs to get UL grant in DCI Format N0 on NPDCCH at time n for data transmission on NPUSCH Format 2 at time n + ko , but needs to advance its UL transmission before receiving NPDCCH at time n. eNB is not aware of UE estimated delay which needs to be taken into when scheduling UL grant to avoid collisions between UL transmissions of UEs experiencing different RTDs.</w:t>
      </w:r>
      <w:r>
        <w:rPr>
          <w:color w:val="000000"/>
        </w:rPr>
        <w:t xml:space="preserve"> As in NR NTN, a s</w:t>
      </w:r>
      <w:r w:rsidRPr="00C57882">
        <w:rPr>
          <w:color w:val="000000"/>
        </w:rPr>
        <w:t>olution</w:t>
      </w:r>
      <w:r>
        <w:rPr>
          <w:color w:val="000000"/>
        </w:rPr>
        <w:t xml:space="preserve"> is to i</w:t>
      </w:r>
      <w:r w:rsidRPr="00C57882">
        <w:rPr>
          <w:color w:val="000000"/>
        </w:rPr>
        <w:t>ntroduce UL scheduling K</w:t>
      </w:r>
      <w:r>
        <w:rPr>
          <w:color w:val="000000"/>
        </w:rPr>
        <w:t>_</w:t>
      </w:r>
      <w:r w:rsidRPr="00C57882">
        <w:rPr>
          <w:color w:val="000000"/>
        </w:rPr>
        <w:t>offset</w:t>
      </w:r>
      <w:r>
        <w:rPr>
          <w:color w:val="000000"/>
        </w:rPr>
        <w:t xml:space="preserve">. </w:t>
      </w:r>
      <w:r w:rsidR="006F0265" w:rsidRPr="00C57882">
        <w:rPr>
          <w:color w:val="000000"/>
          <w:lang w:val="en-US"/>
        </w:rPr>
        <w:t xml:space="preserve">For the transmission timing of DCI scheduled NPUSCH Format N0, the slot allocated for the NPUSCH can be modified to be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006F0265" w:rsidRPr="00C57882">
        <w:rPr>
          <w:color w:val="000000"/>
          <w:lang w:val="en-US"/>
        </w:rPr>
        <w:t>.</w:t>
      </w:r>
    </w:p>
    <w:p w14:paraId="5CD72784" w14:textId="52DFF3A7" w:rsidR="00C57882" w:rsidRPr="00543D3D" w:rsidRDefault="00C57882" w:rsidP="00C57882">
      <w:pPr>
        <w:pStyle w:val="BodyText"/>
        <w:rPr>
          <w:color w:val="000000"/>
          <w:u w:val="single"/>
        </w:rPr>
      </w:pPr>
      <w:bookmarkStart w:id="3" w:name="_GoBack"/>
      <w:bookmarkEnd w:id="3"/>
      <w:r w:rsidRPr="00C57882">
        <w:rPr>
          <w:color w:val="000000"/>
          <w:u w:val="single"/>
        </w:rPr>
        <w:t>UL HARQ feedback on NPUSCH Format 2</w:t>
      </w:r>
      <w:r>
        <w:rPr>
          <w:color w:val="000000"/>
        </w:rPr>
        <w:t xml:space="preserve">: </w:t>
      </w:r>
      <w:r>
        <w:rPr>
          <w:color w:val="000000"/>
        </w:rPr>
        <w:t xml:space="preserve">This case is illustrated in Figure 2. A </w:t>
      </w:r>
      <w:r w:rsidRPr="00C57882">
        <w:rPr>
          <w:color w:val="000000"/>
        </w:rPr>
        <w:t>UE needs to report UL HARQ feedback on NPUSCH Format 2 at time n + ko as indicated in DCI Format N1 on NPDCCH at time n, but needs to advance its UL transmission before receiving NPDCCH at time n. eNB is not aware of UE estimated delay which needs to be taken into when scheduling NPUSCH Format 2 to avoid collisions between UL transmissions of UEs experiencing different RTDs</w:t>
      </w:r>
      <w:r>
        <w:rPr>
          <w:color w:val="000000"/>
        </w:rPr>
        <w:t>. A solution is to i</w:t>
      </w:r>
      <w:r w:rsidRPr="00C57882">
        <w:rPr>
          <w:color w:val="000000"/>
        </w:rPr>
        <w:t>ntroduce UL scheduling offset K</w:t>
      </w:r>
      <w:r>
        <w:rPr>
          <w:color w:val="000000"/>
        </w:rPr>
        <w:t>_</w:t>
      </w:r>
      <w:r w:rsidRPr="00C57882">
        <w:rPr>
          <w:color w:val="000000"/>
        </w:rPr>
        <w:t xml:space="preserve">offset. </w:t>
      </w:r>
      <w:r w:rsidRPr="00C57882">
        <w:rPr>
          <w:color w:val="000000"/>
          <w:lang w:val="en-US"/>
        </w:rPr>
        <w:t xml:space="preserve">For the transmission timing of HARQ-ACK on NPUSH Format 2, the UE provides corresponding HARQ-ACK information in a NPUSH transmission within slot </w:t>
      </w:r>
      <m:oMath>
        <m:r>
          <w:rPr>
            <w:rFonts w:ascii="Cambria Math" w:hAnsi="Cambria Math"/>
            <w:color w:val="000000"/>
          </w:rPr>
          <m:t>n+</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r>
          <w:rPr>
            <w:rFonts w:ascii="Cambria Math" w:hAnsi="Cambria Math"/>
            <w:color w:val="000000"/>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C57882">
        <w:rPr>
          <w:color w:val="000000"/>
          <w:lang w:val="en-US"/>
        </w:rPr>
        <w:t>.</w:t>
      </w:r>
    </w:p>
    <w:p w14:paraId="0E8E9FBC" w14:textId="16A2C3EE" w:rsidR="00C57882" w:rsidRPr="00C57882" w:rsidRDefault="00C57882" w:rsidP="00C57882">
      <w:pPr>
        <w:pStyle w:val="BodyText"/>
        <w:rPr>
          <w:color w:val="000000"/>
        </w:rPr>
      </w:pPr>
      <w:r w:rsidRPr="00C57882">
        <w:rPr>
          <w:color w:val="000000"/>
          <w:u w:val="single"/>
        </w:rPr>
        <w:t>UL Grant for RAR</w:t>
      </w:r>
      <w:r>
        <w:rPr>
          <w:color w:val="000000"/>
          <w:u w:val="single"/>
        </w:rPr>
        <w:t xml:space="preserve"> on NPUSCH format 1</w:t>
      </w:r>
      <w:r>
        <w:rPr>
          <w:color w:val="000000"/>
        </w:rPr>
        <w:t xml:space="preserve">: </w:t>
      </w:r>
      <w:r>
        <w:rPr>
          <w:color w:val="000000"/>
        </w:rPr>
        <w:t xml:space="preserve">This case is illustrated in Figure 3. </w:t>
      </w:r>
      <w:r w:rsidRPr="00C57882">
        <w:rPr>
          <w:color w:val="000000"/>
        </w:rPr>
        <w:t>UE needs to get UL grant in RAR at time n for MSG3 transmission on NPUSCH Format 2 at time n + ko, but needs to advance its UL transmission before receiving RAR at time n. eNB is not aware of UE estimated delay which needs to be taken into when scheduling UL grant in RAR for to avoid collisions between UL transmissions of UEs experiencing different RTDs.</w:t>
      </w:r>
      <w:r>
        <w:rPr>
          <w:color w:val="000000"/>
        </w:rPr>
        <w:t xml:space="preserve"> A s</w:t>
      </w:r>
      <w:r w:rsidRPr="00C57882">
        <w:rPr>
          <w:color w:val="000000"/>
        </w:rPr>
        <w:t>olution</w:t>
      </w:r>
      <w:r>
        <w:rPr>
          <w:color w:val="000000"/>
        </w:rPr>
        <w:t xml:space="preserve"> is to i</w:t>
      </w:r>
      <w:r w:rsidRPr="00C57882">
        <w:rPr>
          <w:color w:val="000000"/>
        </w:rPr>
        <w:t xml:space="preserve">ntroduce UL scheduling offset Koffset. </w:t>
      </w:r>
      <w:r w:rsidRPr="00C57882">
        <w:rPr>
          <w:color w:val="000000"/>
          <w:lang w:val="en-US"/>
        </w:rPr>
        <w:t xml:space="preserve">For the transmission timing of RAR grant scheduled NPUSCH Format 1, the UE transmits the NPUSCH format 1  in slot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C57882">
        <w:rPr>
          <w:color w:val="000000"/>
          <w:lang w:val="en-US"/>
        </w:rPr>
        <w:t>.</w:t>
      </w:r>
    </w:p>
    <w:p w14:paraId="7D0211AB" w14:textId="3E543BBD" w:rsidR="00C57882" w:rsidRDefault="00C57882" w:rsidP="009763F1">
      <w:pPr>
        <w:pStyle w:val="BodyText"/>
        <w:rPr>
          <w:color w:val="000000"/>
        </w:rPr>
      </w:pPr>
      <w:r w:rsidRPr="00C57882">
        <w:rPr>
          <w:noProof/>
          <w:color w:val="000000"/>
        </w:rPr>
        <w:lastRenderedPageBreak/>
        <mc:AlternateContent>
          <mc:Choice Requires="wps">
            <w:drawing>
              <wp:anchor distT="45720" distB="45720" distL="114300" distR="114300" simplePos="0" relativeHeight="251669504" behindDoc="0" locked="0" layoutInCell="1" allowOverlap="1" wp14:anchorId="40849D39" wp14:editId="4D7705F6">
                <wp:simplePos x="0" y="0"/>
                <wp:positionH relativeFrom="column">
                  <wp:posOffset>1480820</wp:posOffset>
                </wp:positionH>
                <wp:positionV relativeFrom="paragraph">
                  <wp:posOffset>184785</wp:posOffset>
                </wp:positionV>
                <wp:extent cx="2999105" cy="2034540"/>
                <wp:effectExtent l="0" t="0" r="1079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9105" cy="2034540"/>
                        </a:xfrm>
                        <a:prstGeom prst="rect">
                          <a:avLst/>
                        </a:prstGeom>
                        <a:solidFill>
                          <a:srgbClr val="FFFFFF"/>
                        </a:solidFill>
                        <a:ln w="9525">
                          <a:solidFill>
                            <a:srgbClr val="000000"/>
                          </a:solidFill>
                          <a:miter lim="800000"/>
                          <a:headEnd/>
                          <a:tailEnd/>
                        </a:ln>
                      </wps:spPr>
                      <wps:txbx>
                        <w:txbxContent>
                          <w:p w14:paraId="219A7A58" w14:textId="769A0690" w:rsidR="00C57882" w:rsidRDefault="00C57882">
                            <w:r w:rsidRPr="00C57882">
                              <w:drawing>
                                <wp:inline distT="0" distB="0" distL="0" distR="0" wp14:anchorId="6F6BE268" wp14:editId="1CD3BE46">
                                  <wp:extent cx="2807335" cy="195533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7335" cy="195533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849D39" id="_x0000_t202" coordsize="21600,21600" o:spt="202" path="m,l,21600r21600,l21600,xe">
                <v:stroke joinstyle="miter"/>
                <v:path gradientshapeok="t" o:connecttype="rect"/>
              </v:shapetype>
              <v:shape id="Text Box 2" o:spid="_x0000_s1026" type="#_x0000_t202" style="position:absolute;margin-left:116.6pt;margin-top:14.55pt;width:236.15pt;height:160.2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">
                <v:textbox>
                  <w:txbxContent>
                    <w:p w14:paraId="219A7A58" w14:textId="769A0690" w:rsidR="00C57882" w:rsidRDefault="00C57882">
                      <w:r w:rsidRPr="00C57882">
                        <w:drawing>
                          <wp:inline distT="0" distB="0" distL="0" distR="0" wp14:anchorId="6F6BE268" wp14:editId="1CD3BE46">
                            <wp:extent cx="2807335" cy="195533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7335" cy="1955333"/>
                                    </a:xfrm>
                                    <a:prstGeom prst="rect">
                                      <a:avLst/>
                                    </a:prstGeom>
                                    <a:noFill/>
                                    <a:ln>
                                      <a:noFill/>
                                    </a:ln>
                                  </pic:spPr>
                                </pic:pic>
                              </a:graphicData>
                            </a:graphic>
                          </wp:inline>
                        </w:drawing>
                      </w:r>
                    </w:p>
                  </w:txbxContent>
                </v:textbox>
                <w10:wrap type="square"/>
              </v:shape>
            </w:pict>
          </mc:Fallback>
        </mc:AlternateContent>
      </w:r>
    </w:p>
    <w:p w14:paraId="536CBB31" w14:textId="77777777" w:rsidR="00C57882" w:rsidRDefault="00C57882" w:rsidP="009763F1">
      <w:pPr>
        <w:pStyle w:val="BodyText"/>
        <w:rPr>
          <w:color w:val="000000"/>
        </w:rPr>
      </w:pPr>
    </w:p>
    <w:p w14:paraId="22934AD3" w14:textId="77777777" w:rsidR="00C57882" w:rsidRDefault="00C57882" w:rsidP="009763F1">
      <w:pPr>
        <w:pStyle w:val="BodyText"/>
        <w:rPr>
          <w:color w:val="000000"/>
        </w:rPr>
      </w:pPr>
    </w:p>
    <w:p w14:paraId="74E65B44" w14:textId="77777777" w:rsidR="00C57882" w:rsidRDefault="00C57882" w:rsidP="009763F1">
      <w:pPr>
        <w:pStyle w:val="BodyText"/>
        <w:rPr>
          <w:color w:val="000000"/>
        </w:rPr>
      </w:pPr>
    </w:p>
    <w:p w14:paraId="44483CE9" w14:textId="77777777" w:rsidR="00C57882" w:rsidRDefault="00C57882" w:rsidP="009763F1">
      <w:pPr>
        <w:pStyle w:val="BodyText"/>
        <w:rPr>
          <w:color w:val="000000"/>
        </w:rPr>
      </w:pPr>
    </w:p>
    <w:p w14:paraId="22557E34" w14:textId="77777777" w:rsidR="00C57882" w:rsidRDefault="00C57882" w:rsidP="009763F1">
      <w:pPr>
        <w:pStyle w:val="BodyText"/>
        <w:rPr>
          <w:color w:val="000000"/>
        </w:rPr>
      </w:pPr>
    </w:p>
    <w:p w14:paraId="0D561A33" w14:textId="77777777" w:rsidR="00C57882" w:rsidRDefault="00C57882" w:rsidP="009763F1">
      <w:pPr>
        <w:pStyle w:val="BodyText"/>
        <w:rPr>
          <w:color w:val="000000"/>
        </w:rPr>
      </w:pPr>
    </w:p>
    <w:p w14:paraId="3A3CCD5B" w14:textId="77777777" w:rsidR="00C57882" w:rsidRDefault="00C57882" w:rsidP="009763F1">
      <w:pPr>
        <w:pStyle w:val="BodyText"/>
        <w:rPr>
          <w:color w:val="000000"/>
        </w:rPr>
      </w:pPr>
    </w:p>
    <w:p w14:paraId="499EEA82" w14:textId="77777777" w:rsidR="00C57882" w:rsidRDefault="00C57882" w:rsidP="009763F1">
      <w:pPr>
        <w:pStyle w:val="BodyText"/>
        <w:rPr>
          <w:color w:val="000000"/>
        </w:rPr>
      </w:pPr>
    </w:p>
    <w:p w14:paraId="79F98D13" w14:textId="7DC1FA8C" w:rsidR="00C57882" w:rsidRPr="00C57882" w:rsidRDefault="00C57882" w:rsidP="00C57882">
      <w:pPr>
        <w:pStyle w:val="BodyText"/>
        <w:jc w:val="center"/>
        <w:rPr>
          <w:i/>
          <w:color w:val="000000"/>
        </w:rPr>
      </w:pPr>
      <w:r w:rsidRPr="00C57882">
        <w:rPr>
          <w:b/>
          <w:i/>
          <w:color w:val="000000"/>
        </w:rPr>
        <w:t>Figure 1</w:t>
      </w:r>
      <w:r w:rsidRPr="00C57882">
        <w:rPr>
          <w:i/>
          <w:color w:val="000000"/>
        </w:rPr>
        <w:t>: UL Grant for NPUSCH Format 1</w:t>
      </w:r>
    </w:p>
    <w:p w14:paraId="7E5562D4" w14:textId="7AFF7A05" w:rsidR="00C57882" w:rsidRDefault="00C57882" w:rsidP="00C57882">
      <w:pPr>
        <w:pStyle w:val="BodyText"/>
        <w:jc w:val="center"/>
        <w:rPr>
          <w:color w:val="000000"/>
        </w:rPr>
      </w:pPr>
      <w:r w:rsidRPr="00C57882">
        <w:rPr>
          <w:noProof/>
          <w:color w:val="000000"/>
        </w:rPr>
        <mc:AlternateContent>
          <mc:Choice Requires="wps">
            <w:drawing>
              <wp:anchor distT="45720" distB="45720" distL="114300" distR="114300" simplePos="0" relativeHeight="251665408" behindDoc="0" locked="0" layoutInCell="1" allowOverlap="1" wp14:anchorId="35F91DB5" wp14:editId="79654C85">
                <wp:simplePos x="0" y="0"/>
                <wp:positionH relativeFrom="column">
                  <wp:posOffset>1395095</wp:posOffset>
                </wp:positionH>
                <wp:positionV relativeFrom="paragraph">
                  <wp:posOffset>182245</wp:posOffset>
                </wp:positionV>
                <wp:extent cx="3215005" cy="1517015"/>
                <wp:effectExtent l="0" t="0" r="23495"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005" cy="1517015"/>
                        </a:xfrm>
                        <a:prstGeom prst="rect">
                          <a:avLst/>
                        </a:prstGeom>
                        <a:solidFill>
                          <a:srgbClr val="FFFFFF"/>
                        </a:solidFill>
                        <a:ln w="9525">
                          <a:solidFill>
                            <a:srgbClr val="000000"/>
                          </a:solidFill>
                          <a:miter lim="800000"/>
                          <a:headEnd/>
                          <a:tailEnd/>
                        </a:ln>
                      </wps:spPr>
                      <wps:txbx>
                        <w:txbxContent>
                          <w:p w14:paraId="33EEDEAD" w14:textId="29FBC83F" w:rsidR="00C57882" w:rsidRDefault="00C57882">
                            <w:r w:rsidRPr="00C57882">
                              <w:drawing>
                                <wp:inline distT="0" distB="0" distL="0" distR="0" wp14:anchorId="799A6C0C" wp14:editId="139DEB38">
                                  <wp:extent cx="3023235" cy="14463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F91DB5" id="_x0000_s1027" type="#_x0000_t202" style="position:absolute;left:0;text-align:left;margin-left:109.85pt;margin-top:14.35pt;width:253.15pt;height:119.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">
                <v:textbox>
                  <w:txbxContent>
                    <w:p w14:paraId="33EEDEAD" w14:textId="29FBC83F" w:rsidR="00C57882" w:rsidRDefault="00C57882">
                      <w:r w:rsidRPr="00C57882">
                        <w:drawing>
                          <wp:inline distT="0" distB="0" distL="0" distR="0" wp14:anchorId="799A6C0C" wp14:editId="139DEB38">
                            <wp:extent cx="3023235" cy="14463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v:textbox>
                <w10:wrap type="square"/>
              </v:shape>
            </w:pict>
          </mc:Fallback>
        </mc:AlternateContent>
      </w:r>
    </w:p>
    <w:p w14:paraId="00D95075" w14:textId="77777777" w:rsidR="00C57882" w:rsidRDefault="00C57882" w:rsidP="009763F1">
      <w:pPr>
        <w:pStyle w:val="BodyText"/>
        <w:rPr>
          <w:color w:val="000000"/>
        </w:rPr>
      </w:pPr>
    </w:p>
    <w:p w14:paraId="2BF052CD" w14:textId="77777777" w:rsidR="00C57882" w:rsidRDefault="00C57882" w:rsidP="009763F1">
      <w:pPr>
        <w:pStyle w:val="BodyText"/>
        <w:rPr>
          <w:color w:val="000000"/>
        </w:rPr>
      </w:pPr>
    </w:p>
    <w:p w14:paraId="3DA54217" w14:textId="77777777" w:rsidR="00C57882" w:rsidRDefault="00C57882" w:rsidP="009763F1">
      <w:pPr>
        <w:pStyle w:val="BodyText"/>
        <w:rPr>
          <w:color w:val="000000"/>
        </w:rPr>
      </w:pPr>
    </w:p>
    <w:p w14:paraId="07E53381" w14:textId="77777777" w:rsidR="00C57882" w:rsidRDefault="00C57882" w:rsidP="009763F1">
      <w:pPr>
        <w:pStyle w:val="BodyText"/>
        <w:rPr>
          <w:color w:val="000000"/>
        </w:rPr>
      </w:pPr>
    </w:p>
    <w:p w14:paraId="21B14B1E" w14:textId="77777777" w:rsidR="00C57882" w:rsidRDefault="00C57882" w:rsidP="009763F1">
      <w:pPr>
        <w:pStyle w:val="BodyText"/>
        <w:rPr>
          <w:color w:val="000000"/>
        </w:rPr>
      </w:pPr>
    </w:p>
    <w:p w14:paraId="7EF58E10" w14:textId="77777777" w:rsidR="00C57882" w:rsidRDefault="00C57882" w:rsidP="009763F1">
      <w:pPr>
        <w:pStyle w:val="BodyText"/>
        <w:rPr>
          <w:color w:val="000000"/>
        </w:rPr>
      </w:pPr>
    </w:p>
    <w:p w14:paraId="269167C1" w14:textId="143DAA7B" w:rsidR="00C57882" w:rsidRPr="00C57882" w:rsidRDefault="00C57882" w:rsidP="00C57882">
      <w:pPr>
        <w:pStyle w:val="BodyText"/>
        <w:jc w:val="center"/>
        <w:rPr>
          <w:i/>
          <w:color w:val="000000"/>
        </w:rPr>
      </w:pPr>
      <w:r w:rsidRPr="00C57882">
        <w:rPr>
          <w:b/>
          <w:i/>
          <w:color w:val="000000"/>
        </w:rPr>
        <w:t xml:space="preserve">Figure </w:t>
      </w:r>
      <w:r>
        <w:rPr>
          <w:b/>
          <w:i/>
          <w:color w:val="000000"/>
        </w:rPr>
        <w:t>2</w:t>
      </w:r>
      <w:r w:rsidRPr="00C57882">
        <w:rPr>
          <w:i/>
          <w:color w:val="000000"/>
        </w:rPr>
        <w:t xml:space="preserve">: </w:t>
      </w:r>
      <w:r w:rsidRPr="00C57882">
        <w:rPr>
          <w:i/>
          <w:color w:val="000000"/>
        </w:rPr>
        <w:t>UL HARQ feedback on NPUSCH Format 2</w:t>
      </w:r>
    </w:p>
    <w:p w14:paraId="6FEAD74D" w14:textId="50B1590C" w:rsidR="00C57882" w:rsidRDefault="00C57882" w:rsidP="00C57882">
      <w:pPr>
        <w:pStyle w:val="BodyText"/>
        <w:jc w:val="center"/>
        <w:rPr>
          <w:color w:val="000000"/>
        </w:rPr>
      </w:pPr>
      <w:r w:rsidRPr="00C57882">
        <w:rPr>
          <w:noProof/>
          <w:color w:val="000000"/>
        </w:rPr>
        <mc:AlternateContent>
          <mc:Choice Requires="wps">
            <w:drawing>
              <wp:anchor distT="45720" distB="45720" distL="114300" distR="114300" simplePos="0" relativeHeight="251667456" behindDoc="0" locked="0" layoutInCell="1" allowOverlap="1" wp14:anchorId="3EB1FAE6" wp14:editId="0EDDFDBC">
                <wp:simplePos x="0" y="0"/>
                <wp:positionH relativeFrom="column">
                  <wp:posOffset>1541145</wp:posOffset>
                </wp:positionH>
                <wp:positionV relativeFrom="paragraph">
                  <wp:posOffset>181610</wp:posOffset>
                </wp:positionV>
                <wp:extent cx="2983865" cy="2009140"/>
                <wp:effectExtent l="0" t="0" r="26035"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865" cy="2009140"/>
                        </a:xfrm>
                        <a:prstGeom prst="rect">
                          <a:avLst/>
                        </a:prstGeom>
                        <a:solidFill>
                          <a:srgbClr val="FFFFFF"/>
                        </a:solidFill>
                        <a:ln w="9525">
                          <a:solidFill>
                            <a:srgbClr val="000000"/>
                          </a:solidFill>
                          <a:miter lim="800000"/>
                          <a:headEnd/>
                          <a:tailEnd/>
                        </a:ln>
                      </wps:spPr>
                      <wps:txbx>
                        <w:txbxContent>
                          <w:p w14:paraId="7AB36EDF" w14:textId="38631E9B" w:rsidR="00C57882" w:rsidRDefault="00C57882">
                            <w:r w:rsidRPr="00C57882">
                              <w:drawing>
                                <wp:inline distT="0" distB="0" distL="0" distR="0" wp14:anchorId="14519D37" wp14:editId="08C9C533">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1FAE6" id="_x0000_s1028" type="#_x0000_t202" style="position:absolute;left:0;text-align:left;margin-left:121.35pt;margin-top:14.3pt;width:234.95pt;height:158.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">
                <v:textbox>
                  <w:txbxContent>
                    <w:p w14:paraId="7AB36EDF" w14:textId="38631E9B" w:rsidR="00C57882" w:rsidRDefault="00C57882">
                      <w:r w:rsidRPr="00C57882">
                        <w:drawing>
                          <wp:inline distT="0" distB="0" distL="0" distR="0" wp14:anchorId="14519D37" wp14:editId="08C9C533">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v:textbox>
                <w10:wrap type="square"/>
              </v:shape>
            </w:pict>
          </mc:Fallback>
        </mc:AlternateContent>
      </w:r>
    </w:p>
    <w:p w14:paraId="24E1D97E" w14:textId="77777777" w:rsidR="00C57882" w:rsidRDefault="00C57882" w:rsidP="009763F1">
      <w:pPr>
        <w:pStyle w:val="BodyText"/>
        <w:rPr>
          <w:color w:val="000000"/>
        </w:rPr>
      </w:pPr>
    </w:p>
    <w:p w14:paraId="4F4A8BB5" w14:textId="77777777" w:rsidR="00C57882" w:rsidRDefault="00C57882" w:rsidP="009763F1">
      <w:pPr>
        <w:pStyle w:val="BodyText"/>
        <w:rPr>
          <w:color w:val="000000"/>
        </w:rPr>
      </w:pPr>
    </w:p>
    <w:p w14:paraId="79DE7B70" w14:textId="77777777" w:rsidR="00C57882" w:rsidRDefault="00C57882" w:rsidP="009763F1">
      <w:pPr>
        <w:pStyle w:val="BodyText"/>
        <w:rPr>
          <w:color w:val="000000"/>
        </w:rPr>
      </w:pPr>
    </w:p>
    <w:p w14:paraId="67326BF9" w14:textId="77777777" w:rsidR="00C57882" w:rsidRDefault="00C57882" w:rsidP="009763F1">
      <w:pPr>
        <w:pStyle w:val="BodyText"/>
        <w:rPr>
          <w:color w:val="000000"/>
        </w:rPr>
      </w:pPr>
    </w:p>
    <w:p w14:paraId="16FFA51D" w14:textId="77777777" w:rsidR="00C57882" w:rsidRDefault="00C57882" w:rsidP="009763F1">
      <w:pPr>
        <w:pStyle w:val="BodyText"/>
        <w:rPr>
          <w:color w:val="000000"/>
        </w:rPr>
      </w:pPr>
    </w:p>
    <w:p w14:paraId="686E0EB1" w14:textId="77777777" w:rsidR="00C57882" w:rsidRDefault="00C57882" w:rsidP="009763F1">
      <w:pPr>
        <w:pStyle w:val="BodyText"/>
        <w:rPr>
          <w:color w:val="000000"/>
        </w:rPr>
      </w:pPr>
    </w:p>
    <w:p w14:paraId="61368F3D" w14:textId="77777777" w:rsidR="00C57882" w:rsidRDefault="00C57882" w:rsidP="009763F1">
      <w:pPr>
        <w:pStyle w:val="BodyText"/>
        <w:rPr>
          <w:color w:val="000000"/>
        </w:rPr>
      </w:pPr>
    </w:p>
    <w:p w14:paraId="0522096E" w14:textId="77777777" w:rsidR="00C57882" w:rsidRDefault="00C57882" w:rsidP="009763F1">
      <w:pPr>
        <w:pStyle w:val="BodyText"/>
        <w:rPr>
          <w:color w:val="000000"/>
        </w:rPr>
      </w:pPr>
    </w:p>
    <w:p w14:paraId="5D4644B2" w14:textId="1AA021B1" w:rsidR="00C57882" w:rsidRPr="00C57882" w:rsidRDefault="00C57882" w:rsidP="00C57882">
      <w:pPr>
        <w:pStyle w:val="BodyText"/>
        <w:jc w:val="center"/>
        <w:rPr>
          <w:i/>
          <w:color w:val="000000"/>
        </w:rPr>
      </w:pPr>
      <w:r w:rsidRPr="00C57882">
        <w:rPr>
          <w:b/>
          <w:i/>
          <w:color w:val="000000"/>
        </w:rPr>
        <w:t xml:space="preserve">Figure </w:t>
      </w:r>
      <w:r>
        <w:rPr>
          <w:b/>
          <w:i/>
          <w:color w:val="000000"/>
        </w:rPr>
        <w:t>3</w:t>
      </w:r>
      <w:r w:rsidRPr="00C57882">
        <w:rPr>
          <w:i/>
          <w:color w:val="000000"/>
        </w:rPr>
        <w:t xml:space="preserve">: UL Grant for </w:t>
      </w:r>
      <w:r>
        <w:rPr>
          <w:i/>
          <w:color w:val="000000"/>
        </w:rPr>
        <w:t>RAR on NPUSCH Format 1</w:t>
      </w:r>
    </w:p>
    <w:p w14:paraId="7C732C71" w14:textId="77777777" w:rsidR="002E7579" w:rsidRDefault="002E7579" w:rsidP="009763F1">
      <w:pPr>
        <w:pStyle w:val="BodyText"/>
        <w:rPr>
          <w:b/>
          <w:i/>
        </w:rPr>
      </w:pPr>
    </w:p>
    <w:p w14:paraId="71E545B7" w14:textId="456CB359" w:rsidR="009763F1" w:rsidRPr="001F01B4" w:rsidRDefault="009763F1" w:rsidP="009763F1">
      <w:pPr>
        <w:pStyle w:val="BodyText"/>
        <w:rPr>
          <w:i/>
        </w:rPr>
      </w:pPr>
      <w:r w:rsidRPr="009763F1">
        <w:rPr>
          <w:b/>
          <w:i/>
        </w:rPr>
        <w:t>Proposal 1</w:t>
      </w:r>
      <w:r>
        <w:rPr>
          <w:i/>
        </w:rPr>
        <w:t xml:space="preserve">: </w:t>
      </w:r>
      <w:r w:rsidRPr="001F01B4">
        <w:rPr>
          <w:i/>
        </w:rPr>
        <w:t>Introduce K_offset to enhance the following timing relationships</w:t>
      </w:r>
      <w:r w:rsidR="00D50CCC">
        <w:rPr>
          <w:i/>
        </w:rPr>
        <w:t xml:space="preserve"> for NB-IoT </w:t>
      </w:r>
      <w:r>
        <w:rPr>
          <w:i/>
        </w:rPr>
        <w:t>NTN is beneficial</w:t>
      </w:r>
      <w:r w:rsidRPr="001F01B4">
        <w:rPr>
          <w:i/>
        </w:rPr>
        <w:t>:</w:t>
      </w:r>
    </w:p>
    <w:p w14:paraId="03B07166" w14:textId="4EAC44A8" w:rsidR="009763F1" w:rsidRPr="001F01B4" w:rsidRDefault="00D50CCC" w:rsidP="00D50CCC">
      <w:pPr>
        <w:pStyle w:val="BodyText"/>
        <w:numPr>
          <w:ilvl w:val="0"/>
          <w:numId w:val="13"/>
        </w:numPr>
        <w:rPr>
          <w:i/>
        </w:rPr>
      </w:pPr>
      <w:r>
        <w:rPr>
          <w:i/>
        </w:rPr>
        <w:t>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sidR="00C57882">
        <w:rPr>
          <w:i/>
        </w:rPr>
        <w:t xml:space="preserve">Format 1 </w:t>
      </w:r>
      <w:r w:rsidRPr="00D50CCC">
        <w:rPr>
          <w:i/>
        </w:rPr>
        <w:t xml:space="preserve">is transmitted in </w:t>
      </w:r>
      <w:r>
        <w:rPr>
          <w:i/>
        </w:rPr>
        <w:t>subframe  n+k0+</w:t>
      </w:r>
      <w:r w:rsidRPr="00D50CCC">
        <w:rPr>
          <w:i/>
        </w:rPr>
        <w:t>K</w:t>
      </w:r>
      <w:r>
        <w:rPr>
          <w:i/>
        </w:rPr>
        <w:t>_</w:t>
      </w:r>
      <w:r w:rsidRPr="00D50CCC">
        <w:rPr>
          <w:i/>
        </w:rPr>
        <w:t>offset</w:t>
      </w:r>
      <w:r w:rsidR="009763F1" w:rsidRPr="001F01B4">
        <w:rPr>
          <w:i/>
        </w:rPr>
        <w:t>.</w:t>
      </w:r>
    </w:p>
    <w:p w14:paraId="63425240" w14:textId="5244469C" w:rsidR="00D50CCC" w:rsidRPr="001F01B4" w:rsidRDefault="00D50CCC" w:rsidP="00D50CCC">
      <w:pPr>
        <w:pStyle w:val="BodyText"/>
        <w:numPr>
          <w:ilvl w:val="0"/>
          <w:numId w:val="13"/>
        </w:numPr>
        <w:rPr>
          <w:i/>
        </w:rPr>
      </w:pPr>
      <w:r>
        <w:rPr>
          <w:i/>
        </w:rPr>
        <w:t>For NB-IoT, o</w:t>
      </w:r>
      <w:r>
        <w:rPr>
          <w:i/>
        </w:rPr>
        <w:t>n receiving D</w:t>
      </w:r>
      <w:r w:rsidRPr="00D50CCC">
        <w:rPr>
          <w:i/>
        </w:rPr>
        <w:t xml:space="preserve">L assignment on DCI </w:t>
      </w:r>
      <w:r>
        <w:rPr>
          <w:i/>
        </w:rPr>
        <w:t>format N1</w:t>
      </w:r>
      <w:r>
        <w:rPr>
          <w:i/>
        </w:rPr>
        <w:t xml:space="preserve"> </w:t>
      </w:r>
      <w:r w:rsidRPr="00D50CCC">
        <w:rPr>
          <w:i/>
        </w:rPr>
        <w:t xml:space="preserve">in slot n, </w:t>
      </w:r>
      <w:r w:rsidRPr="00D50CCC">
        <w:rPr>
          <w:i/>
        </w:rPr>
        <w:t>HARQ-ACK on NPUSH Format 2</w:t>
      </w:r>
      <w:r>
        <w:rPr>
          <w:i/>
        </w:rPr>
        <w:t xml:space="preserve">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22FB0988" w14:textId="41D2C13D" w:rsidR="009763F1" w:rsidRPr="00D50CCC" w:rsidRDefault="00D50CCC" w:rsidP="00D50CCC">
      <w:pPr>
        <w:pStyle w:val="BodyText"/>
        <w:numPr>
          <w:ilvl w:val="0"/>
          <w:numId w:val="13"/>
        </w:numPr>
        <w:rPr>
          <w:i/>
        </w:rPr>
      </w:pPr>
      <w:r>
        <w:rPr>
          <w:i/>
        </w:rPr>
        <w:t xml:space="preserve">For NB-IoT, on receiving </w:t>
      </w:r>
      <w:r>
        <w:rPr>
          <w:i/>
        </w:rPr>
        <w:t xml:space="preserve">a NPDSCH with a RAR message </w:t>
      </w:r>
      <w:r w:rsidRPr="00D50CCC">
        <w:rPr>
          <w:i/>
        </w:rPr>
        <w:t xml:space="preserve">in slot n, </w:t>
      </w:r>
      <w:r>
        <w:rPr>
          <w:i/>
        </w:rPr>
        <w:t xml:space="preserve">message 3 is transmitted on NPUSCH </w:t>
      </w:r>
      <w:r w:rsidR="00C57882">
        <w:rPr>
          <w:i/>
        </w:rPr>
        <w:t>format 1</w:t>
      </w:r>
      <w:r w:rsidRPr="00D50CCC">
        <w:rPr>
          <w:i/>
        </w:rPr>
        <w:t xml:space="preserve">in </w:t>
      </w:r>
      <w:r>
        <w:rPr>
          <w:i/>
        </w:rPr>
        <w:t>subframe  n+k0+</w:t>
      </w:r>
      <w:r w:rsidRPr="00D50CCC">
        <w:rPr>
          <w:i/>
        </w:rPr>
        <w:t>K</w:t>
      </w:r>
      <w:r>
        <w:rPr>
          <w:i/>
        </w:rPr>
        <w:t>_</w:t>
      </w:r>
      <w:r w:rsidRPr="00D50CCC">
        <w:rPr>
          <w:i/>
        </w:rPr>
        <w:t>offset</w:t>
      </w:r>
      <w:r w:rsidRPr="001F01B4">
        <w:rPr>
          <w:i/>
        </w:rPr>
        <w:t>.</w:t>
      </w:r>
    </w:p>
    <w:p w14:paraId="0B2B5A9F" w14:textId="77777777" w:rsidR="000635FA" w:rsidRDefault="000635FA" w:rsidP="000635FA">
      <w:pPr>
        <w:pStyle w:val="BodyText"/>
        <w:rPr>
          <w:color w:val="000000"/>
        </w:rPr>
      </w:pPr>
      <w:r>
        <w:rPr>
          <w:color w:val="000000"/>
        </w:rPr>
        <w:lastRenderedPageBreak/>
        <w:t xml:space="preserve">Similarly to NR NTN, to avoid any clash between UE transmissions of Message 3 during initial cell access, the cell-specific Koffset should be configured to be equal to the maximum RTD of the cell. In NR NTN, the benefit of beam-specific Koffset in initial access is unclear. </w:t>
      </w:r>
      <w:r w:rsidRPr="004514DE">
        <w:rPr>
          <w:color w:val="000000"/>
        </w:rPr>
        <w:t>Configuration of a beam-specific Koffset requires beam-specific K-offset to be broadcast on SIB increases system information overhead in satellite with cells with large number of beams and is trade off between UL scheduler flexibility in initial access and SIB overhead</w:t>
      </w:r>
      <w:r>
        <w:rPr>
          <w:color w:val="000000"/>
        </w:rPr>
        <w:t xml:space="preserve">. In IOT NTN, it can be expected that the number of beams per cell could be relatively smaller – i.e. in the order of 10 or smaller. The beam spot size could be relatively larger – e.g. 234 km (Eutelsat parameters set 3) or larger. </w:t>
      </w:r>
    </w:p>
    <w:p w14:paraId="1940398A" w14:textId="77777777" w:rsidR="000635FA" w:rsidRPr="00F31051" w:rsidRDefault="000635FA" w:rsidP="000635FA">
      <w:pPr>
        <w:pStyle w:val="BodyText"/>
        <w:rPr>
          <w:i/>
          <w:color w:val="000000"/>
        </w:rPr>
      </w:pPr>
      <w:r w:rsidRPr="00F31051">
        <w:rPr>
          <w:b/>
          <w:i/>
          <w:color w:val="000000"/>
        </w:rPr>
        <w:t>Observation 1:</w:t>
      </w:r>
      <w:r w:rsidRPr="00F31051">
        <w:rPr>
          <w:i/>
          <w:color w:val="000000"/>
        </w:rPr>
        <w:t xml:space="preserve"> Configuration of a b</w:t>
      </w:r>
      <w:r>
        <w:rPr>
          <w:i/>
          <w:color w:val="000000"/>
        </w:rPr>
        <w:t xml:space="preserve">eam-specific K_offset requires </w:t>
      </w:r>
      <w:r w:rsidRPr="00F31051">
        <w:rPr>
          <w:i/>
          <w:color w:val="000000"/>
        </w:rPr>
        <w:t>beam-specific K</w:t>
      </w:r>
      <w:r>
        <w:rPr>
          <w:i/>
          <w:color w:val="000000"/>
        </w:rPr>
        <w:t>_offset</w:t>
      </w:r>
      <w:r w:rsidRPr="00F31051">
        <w:rPr>
          <w:i/>
          <w:color w:val="000000"/>
        </w:rPr>
        <w:t xml:space="preserve"> to be broadcast on SIB increases system information overhead </w:t>
      </w:r>
      <w:r>
        <w:rPr>
          <w:i/>
          <w:color w:val="000000"/>
        </w:rPr>
        <w:t xml:space="preserve">in a satellite cell with moderate number of beams and may be acceptable trade-off between UL scheduler flexibility in initial access and </w:t>
      </w:r>
      <w:r w:rsidRPr="00F31051">
        <w:rPr>
          <w:i/>
          <w:color w:val="000000"/>
        </w:rPr>
        <w:t xml:space="preserve">SIB </w:t>
      </w:r>
      <w:r>
        <w:rPr>
          <w:i/>
          <w:color w:val="000000"/>
        </w:rPr>
        <w:t>overhead.</w:t>
      </w:r>
    </w:p>
    <w:p w14:paraId="5BC762EF" w14:textId="77777777" w:rsidR="000635FA" w:rsidRDefault="000635FA" w:rsidP="00117A53">
      <w:pPr>
        <w:pStyle w:val="BodyText"/>
        <w:rPr>
          <w:color w:val="000000"/>
        </w:rPr>
      </w:pPr>
    </w:p>
    <w:p w14:paraId="0050E91C" w14:textId="34F0C816" w:rsidR="000635FA" w:rsidRPr="00FE0E3F" w:rsidRDefault="000472B1" w:rsidP="000635FA">
      <w:pPr>
        <w:pStyle w:val="Heading1"/>
      </w:pPr>
      <w:r>
        <w:rPr>
          <w:rFonts w:cs="Arial"/>
        </w:rPr>
        <w:t xml:space="preserve">Updating </w:t>
      </w:r>
      <w:r w:rsidR="000635FA" w:rsidRPr="00F5713C">
        <w:rPr>
          <w:rFonts w:cs="Arial"/>
        </w:rPr>
        <w:t>K</w:t>
      </w:r>
      <w:r w:rsidR="000635FA">
        <w:rPr>
          <w:rFonts w:cs="Arial"/>
        </w:rPr>
        <w:t>_offset in connected</w:t>
      </w:r>
      <w:r w:rsidR="000635FA" w:rsidRPr="00F5713C">
        <w:rPr>
          <w:rFonts w:cs="Arial"/>
        </w:rPr>
        <w:t xml:space="preserve"> </w:t>
      </w:r>
      <w:r w:rsidR="000635FA">
        <w:rPr>
          <w:rFonts w:cs="Arial"/>
        </w:rPr>
        <w:t xml:space="preserve">  </w:t>
      </w:r>
    </w:p>
    <w:p w14:paraId="4EE2141F" w14:textId="77777777" w:rsidR="00624889" w:rsidRDefault="00A54C06" w:rsidP="00A54C06">
      <w:pPr>
        <w:pStyle w:val="BodyText"/>
      </w:pPr>
      <w:r>
        <w:t>Assuming the K</w:t>
      </w:r>
      <w:r w:rsidR="005455E3">
        <w:t>_offset</w:t>
      </w:r>
      <w:r>
        <w:t xml:space="preserve"> broadcast on SIB for initial access, it will be the same for all UEs within the cell or beam. Assuming a m</w:t>
      </w:r>
      <w:r w:rsidRPr="00A95D2B">
        <w:t>ax</w:t>
      </w:r>
      <w:r>
        <w:t xml:space="preserve">imum beam foot print size 3500 km in GEO and 1000 km in LEO, the maximum differential delay is 10.3 ms and 3.2 ms respectively [TR 38.821, </w:t>
      </w:r>
      <w:r w:rsidRPr="00A95D2B">
        <w:t>Table 4.2-2</w:t>
      </w:r>
      <w:r>
        <w:t>]. The K</w:t>
      </w:r>
      <w:r w:rsidR="005455E3">
        <w:t>_</w:t>
      </w:r>
      <w:r>
        <w:t>offset value could be configured to be equal to the maximum differential RTD of 20.6 ms and 6.4 ms, which corresponds to about 21 subframes for GEO. A smaller K</w:t>
      </w:r>
      <w:r w:rsidRPr="005455E3">
        <w:rPr>
          <w:vertAlign w:val="subscript"/>
        </w:rPr>
        <w:t>offset</w:t>
      </w:r>
      <w:r>
        <w:t xml:space="preserve"> value could be used to handle the UE-specific differential delay in NTN if the UE reports the autonomous TA report in Msg 3 in initial cell access or in Msg 5. </w:t>
      </w:r>
      <w:r w:rsidR="00624889">
        <w:t>There are two issues with using the K_offset value configured to the maximum differential TA i</w:t>
      </w:r>
      <w:r>
        <w:t xml:space="preserve">n case of </w:t>
      </w:r>
      <w:r w:rsidR="00624889">
        <w:t>FDD-Half-Duplex Systems:</w:t>
      </w:r>
    </w:p>
    <w:p w14:paraId="2FDEFDE1" w14:textId="104AEE20" w:rsidR="00624889" w:rsidRDefault="00624889" w:rsidP="00624889">
      <w:pPr>
        <w:pStyle w:val="BodyText"/>
        <w:numPr>
          <w:ilvl w:val="0"/>
          <w:numId w:val="13"/>
        </w:numPr>
      </w:pPr>
      <w:r>
        <w:t>Collision of DL and UL s</w:t>
      </w:r>
      <w:r w:rsidR="00580D16">
        <w:t>ubframes illustrated in Figure 4</w:t>
      </w:r>
      <w:r>
        <w:t xml:space="preserve">, </w:t>
      </w:r>
      <w:r w:rsidR="00A54C06">
        <w:t xml:space="preserve">where </w:t>
      </w:r>
      <w:r w:rsidR="00A54C06" w:rsidRPr="00507515">
        <w:t>DL and UL scheduling by the BS collide at the UE</w:t>
      </w:r>
    </w:p>
    <w:p w14:paraId="0CC44049" w14:textId="5052E124" w:rsidR="00624889" w:rsidRDefault="00624889" w:rsidP="00624889">
      <w:pPr>
        <w:pStyle w:val="BodyText"/>
        <w:numPr>
          <w:ilvl w:val="0"/>
          <w:numId w:val="13"/>
        </w:numPr>
      </w:pPr>
      <w:r>
        <w:t xml:space="preserve">Interrupted DL subframes when the eNB schedules an UL subframe to one or several UEs, but cannot schedule DL transmissions for the other UEs within the maximum differential TA. </w:t>
      </w:r>
    </w:p>
    <w:p w14:paraId="5EDE4DC1" w14:textId="6E333070" w:rsidR="00624889" w:rsidRDefault="00624889" w:rsidP="00A54C06">
      <w:pPr>
        <w:pStyle w:val="BodyText"/>
      </w:pPr>
      <w:r>
        <w:t>The two issues considered below can be avoided if the UE reports its autonomous TA to make the eNB</w:t>
      </w:r>
      <w:r w:rsidR="00A54C06" w:rsidRPr="00507515">
        <w:t xml:space="preserve"> </w:t>
      </w:r>
      <w:r w:rsidR="00A54C06">
        <w:t>aware of the TA the UE has used for UE pre-compensation of satellite delay.</w:t>
      </w:r>
      <w:r>
        <w:t xml:space="preserve"> </w:t>
      </w:r>
      <w:r w:rsidR="00D4657C">
        <w:t>The eNB can update the K_offset value for connected UE based on the UE autonomous report of TA.</w:t>
      </w:r>
    </w:p>
    <w:p w14:paraId="2E239834" w14:textId="16941206" w:rsidR="00614BA3" w:rsidRDefault="00624889" w:rsidP="00614BA3">
      <w:pPr>
        <w:pStyle w:val="BodyText"/>
        <w:rPr>
          <w:color w:val="000000"/>
        </w:rPr>
      </w:pPr>
      <w:r>
        <w:rPr>
          <w:color w:val="000000"/>
        </w:rPr>
        <w:t>T</w:t>
      </w:r>
      <w:r w:rsidR="00614BA3">
        <w:rPr>
          <w:color w:val="000000"/>
        </w:rPr>
        <w:t xml:space="preserve">he TA report only needs to be sent to avoid subframe collision between UL transmissions by UEs within the cell assuming K_offset is smaller than maximum RTD in the cell. It is sufficient if the TA report is reported by UE when its UE-specific TA has changed by half subframe duration. </w:t>
      </w:r>
      <w:r w:rsidR="00614BA3" w:rsidRPr="00F5713C">
        <w:rPr>
          <w:color w:val="000000"/>
        </w:rPr>
        <w:t>For example with LEO=600 km, the satellite speed is 7.6 km/s</w:t>
      </w:r>
      <w:r w:rsidR="00614BA3">
        <w:rPr>
          <w:color w:val="000000"/>
        </w:rPr>
        <w:t xml:space="preserve">. </w:t>
      </w:r>
      <w:r w:rsidR="00614BA3" w:rsidRPr="00F5713C">
        <w:rPr>
          <w:color w:val="000000"/>
        </w:rPr>
        <w:t xml:space="preserve">The time drift </w:t>
      </w:r>
      <w:r w:rsidR="00614BA3">
        <w:rPr>
          <w:color w:val="000000"/>
        </w:rPr>
        <w:t xml:space="preserve">in one second is about 25.33 us (i.e. d=v*t= 7600 m/s * 1 </w:t>
      </w:r>
      <w:r w:rsidR="00614BA3" w:rsidRPr="00F5713C">
        <w:rPr>
          <w:color w:val="000000"/>
        </w:rPr>
        <w:t>s=</w:t>
      </w:r>
      <w:r w:rsidR="00614BA3">
        <w:rPr>
          <w:color w:val="000000"/>
        </w:rPr>
        <w:t>7600</w:t>
      </w:r>
      <w:r w:rsidR="00614BA3" w:rsidRPr="00F5713C">
        <w:rPr>
          <w:color w:val="000000"/>
        </w:rPr>
        <w:t xml:space="preserve"> m</w:t>
      </w:r>
      <w:r w:rsidR="00614BA3">
        <w:rPr>
          <w:color w:val="000000"/>
        </w:rPr>
        <w:t xml:space="preserve">, and </w:t>
      </w:r>
      <w:r w:rsidR="00614BA3" w:rsidRPr="00F5713C">
        <w:rPr>
          <w:color w:val="000000"/>
        </w:rPr>
        <w:t xml:space="preserve">t=d/c = </w:t>
      </w:r>
      <w:r w:rsidR="00614BA3">
        <w:rPr>
          <w:color w:val="000000"/>
        </w:rPr>
        <w:t>7600</w:t>
      </w:r>
      <w:r w:rsidR="00614BA3" w:rsidRPr="00F5713C">
        <w:rPr>
          <w:color w:val="000000"/>
        </w:rPr>
        <w:t>/3.10</w:t>
      </w:r>
      <w:r w:rsidR="00614BA3" w:rsidRPr="00F5713C">
        <w:rPr>
          <w:color w:val="000000"/>
          <w:vertAlign w:val="superscript"/>
        </w:rPr>
        <w:t>8</w:t>
      </w:r>
      <w:r w:rsidR="00614BA3" w:rsidRPr="00F5713C">
        <w:rPr>
          <w:color w:val="000000"/>
        </w:rPr>
        <w:t xml:space="preserve"> = </w:t>
      </w:r>
      <w:r w:rsidR="00614BA3">
        <w:rPr>
          <w:color w:val="000000"/>
        </w:rPr>
        <w:t xml:space="preserve">25.33 </w:t>
      </w:r>
      <w:r w:rsidR="00614BA3" w:rsidRPr="00F5713C">
        <w:rPr>
          <w:color w:val="000000"/>
        </w:rPr>
        <w:t xml:space="preserve"> us</w:t>
      </w:r>
      <w:r w:rsidR="00614BA3">
        <w:rPr>
          <w:color w:val="000000"/>
        </w:rPr>
        <w:t xml:space="preserve">).  </w:t>
      </w:r>
      <w:r w:rsidR="000472B1">
        <w:rPr>
          <w:color w:val="000000"/>
        </w:rPr>
        <w:t>T</w:t>
      </w:r>
      <w:r w:rsidR="00614BA3">
        <w:rPr>
          <w:color w:val="000000"/>
        </w:rPr>
        <w:t xml:space="preserve">he UE autonomously acquired TA report needs to be sent by UE about every </w:t>
      </w:r>
      <w:r w:rsidR="000472B1">
        <w:rPr>
          <w:color w:val="000000"/>
        </w:rPr>
        <w:t>20 seconds (=500 µs / 25.33 µs)</w:t>
      </w:r>
      <w:r w:rsidR="00614BA3">
        <w:rPr>
          <w:color w:val="000000"/>
        </w:rPr>
        <w:t xml:space="preserve">. </w:t>
      </w:r>
    </w:p>
    <w:p w14:paraId="73222303" w14:textId="23896B4C" w:rsidR="00624889" w:rsidRDefault="00624889" w:rsidP="00614BA3">
      <w:pPr>
        <w:pStyle w:val="BodyText"/>
        <w:rPr>
          <w:i/>
        </w:rPr>
      </w:pPr>
      <w:r w:rsidRPr="00624889">
        <w:rPr>
          <w:b/>
          <w:i/>
        </w:rPr>
        <w:t>Observation 2</w:t>
      </w:r>
      <w:r>
        <w:rPr>
          <w:i/>
        </w:rPr>
        <w:t xml:space="preserve">: </w:t>
      </w:r>
      <w:r w:rsidR="00D4657C">
        <w:rPr>
          <w:i/>
        </w:rPr>
        <w:t>For half-duplex UEs (including NB-IoT and HD eMTC), c</w:t>
      </w:r>
      <w:r>
        <w:rPr>
          <w:i/>
        </w:rPr>
        <w:t>onfiguring K_offset value to maximum differential TA may cause collision of DL and UL subframes</w:t>
      </w:r>
    </w:p>
    <w:p w14:paraId="5819380D" w14:textId="10CAAB82" w:rsidR="00624889" w:rsidRDefault="00624889" w:rsidP="00624889">
      <w:pPr>
        <w:pStyle w:val="BodyText"/>
        <w:rPr>
          <w:i/>
        </w:rPr>
      </w:pPr>
      <w:r w:rsidRPr="00624889">
        <w:rPr>
          <w:b/>
          <w:i/>
        </w:rPr>
        <w:t>Observation 3</w:t>
      </w:r>
      <w:r>
        <w:rPr>
          <w:i/>
        </w:rPr>
        <w:t xml:space="preserve">: </w:t>
      </w:r>
      <w:r w:rsidR="00D4657C">
        <w:rPr>
          <w:i/>
        </w:rPr>
        <w:t>For half-duplex UEs (including NB-IoT and HD eMTC), c</w:t>
      </w:r>
      <w:r>
        <w:rPr>
          <w:i/>
        </w:rPr>
        <w:t>onfiguring K_offset value to maximum differential TA may cause interruption of DL subframes.</w:t>
      </w:r>
    </w:p>
    <w:p w14:paraId="01198418" w14:textId="55F13790" w:rsidR="00614BA3" w:rsidRDefault="00624889" w:rsidP="00614BA3">
      <w:pPr>
        <w:pStyle w:val="BodyText"/>
        <w:rPr>
          <w:i/>
        </w:rPr>
      </w:pPr>
      <w:r w:rsidRPr="00A54C06">
        <w:rPr>
          <w:b/>
          <w:i/>
        </w:rPr>
        <w:t xml:space="preserve">Observation </w:t>
      </w:r>
      <w:r>
        <w:rPr>
          <w:b/>
          <w:i/>
        </w:rPr>
        <w:t>4</w:t>
      </w:r>
      <w:r w:rsidRPr="00A54C06">
        <w:rPr>
          <w:i/>
        </w:rPr>
        <w:t xml:space="preserve">: </w:t>
      </w:r>
      <w:r w:rsidR="00D4657C">
        <w:rPr>
          <w:i/>
        </w:rPr>
        <w:t>For connected half-duplex UEs (including NB-IoT and HD eMTC),</w:t>
      </w:r>
      <w:r w:rsidRPr="00A54C06">
        <w:rPr>
          <w:i/>
        </w:rPr>
        <w:t xml:space="preserve"> </w:t>
      </w:r>
      <w:r w:rsidR="00D4657C">
        <w:rPr>
          <w:i/>
        </w:rPr>
        <w:t xml:space="preserve">updating </w:t>
      </w:r>
      <w:r w:rsidRPr="00A54C06">
        <w:rPr>
          <w:i/>
        </w:rPr>
        <w:t xml:space="preserve">the </w:t>
      </w:r>
      <w:r w:rsidR="00D4657C">
        <w:rPr>
          <w:i/>
        </w:rPr>
        <w:t xml:space="preserve">K_offset value based on </w:t>
      </w:r>
      <w:r w:rsidRPr="00A54C06">
        <w:rPr>
          <w:i/>
        </w:rPr>
        <w:t xml:space="preserve">UE </w:t>
      </w:r>
      <w:r w:rsidR="00D4657C">
        <w:rPr>
          <w:i/>
        </w:rPr>
        <w:t xml:space="preserve">autonomous </w:t>
      </w:r>
      <w:r w:rsidRPr="00A54C06">
        <w:rPr>
          <w:i/>
        </w:rPr>
        <w:t xml:space="preserve">TA report can avoid collision issue </w:t>
      </w:r>
      <w:r>
        <w:rPr>
          <w:i/>
        </w:rPr>
        <w:t>between DL and UL subframes and interrupted DL subframe issue.</w:t>
      </w:r>
    </w:p>
    <w:p w14:paraId="7C749D3E" w14:textId="74A7BF48" w:rsidR="000472B1" w:rsidRPr="00A54C06" w:rsidRDefault="000472B1" w:rsidP="00614BA3">
      <w:pPr>
        <w:pStyle w:val="BodyText"/>
        <w:rPr>
          <w:i/>
        </w:rPr>
      </w:pPr>
      <w:r w:rsidRPr="000472B1">
        <w:rPr>
          <w:b/>
          <w:i/>
        </w:rPr>
        <w:t xml:space="preserve">Observation </w:t>
      </w:r>
      <w:r w:rsidR="00624889">
        <w:rPr>
          <w:b/>
          <w:i/>
        </w:rPr>
        <w:t>5</w:t>
      </w:r>
      <w:r>
        <w:rPr>
          <w:i/>
        </w:rPr>
        <w:t xml:space="preserve">: It is sufficient if </w:t>
      </w:r>
      <w:r>
        <w:rPr>
          <w:color w:val="000000"/>
        </w:rPr>
        <w:t>the UE autonomously acquired TA report is sent by UE about every 20 seconds (=500 µs / 25.33 µs) to avoid DL-UL subframe collision issue in LEO.</w:t>
      </w:r>
    </w:p>
    <w:p w14:paraId="4AED2BD0" w14:textId="77777777" w:rsidR="00614BA3" w:rsidRPr="00A95D2B" w:rsidRDefault="00614BA3" w:rsidP="00614BA3">
      <w:pPr>
        <w:pStyle w:val="BodyText"/>
        <w:rPr>
          <w:i/>
        </w:rPr>
      </w:pPr>
      <w:r w:rsidRPr="00A95D2B">
        <w:rPr>
          <w:b/>
          <w:i/>
        </w:rPr>
        <w:t xml:space="preserve">Proposal </w:t>
      </w:r>
      <w:r>
        <w:rPr>
          <w:b/>
          <w:i/>
        </w:rPr>
        <w:t>2</w:t>
      </w:r>
      <w:r w:rsidRPr="00A95D2B">
        <w:rPr>
          <w:i/>
        </w:rPr>
        <w:t>: The value of K</w:t>
      </w:r>
      <w:r>
        <w:rPr>
          <w:i/>
        </w:rPr>
        <w:t>_offset</w:t>
      </w:r>
      <w:r w:rsidRPr="00A95D2B">
        <w:rPr>
          <w:i/>
        </w:rPr>
        <w:t xml:space="preserve"> can be re-configured after RRC connection setup based on UE-specific autonomous TA report.</w:t>
      </w:r>
    </w:p>
    <w:p w14:paraId="07B6B304" w14:textId="59680643" w:rsidR="00614BA3" w:rsidRPr="00A95D2B" w:rsidRDefault="00614BA3" w:rsidP="00614BA3">
      <w:pPr>
        <w:pStyle w:val="BodyText"/>
        <w:rPr>
          <w:i/>
        </w:rPr>
      </w:pPr>
      <w:r w:rsidRPr="00A95D2B">
        <w:rPr>
          <w:b/>
          <w:i/>
        </w:rPr>
        <w:t xml:space="preserve">Proposal </w:t>
      </w:r>
      <w:r>
        <w:rPr>
          <w:b/>
          <w:i/>
        </w:rPr>
        <w:t>3</w:t>
      </w:r>
      <w:r w:rsidRPr="00A95D2B">
        <w:rPr>
          <w:i/>
        </w:rPr>
        <w:t xml:space="preserve">: The UE </w:t>
      </w:r>
      <w:r w:rsidR="00624889">
        <w:rPr>
          <w:i/>
        </w:rPr>
        <w:t xml:space="preserve">can report </w:t>
      </w:r>
      <w:r w:rsidRPr="00A95D2B">
        <w:rPr>
          <w:i/>
        </w:rPr>
        <w:t xml:space="preserve">at least report its autonomous TA to the gNB in Message 3 during initial cell access. </w:t>
      </w:r>
    </w:p>
    <w:p w14:paraId="06FE6757" w14:textId="6A439610" w:rsidR="00614BA3" w:rsidRPr="00A95D2B" w:rsidRDefault="00614BA3" w:rsidP="00614BA3">
      <w:pPr>
        <w:pStyle w:val="BodyText"/>
        <w:rPr>
          <w:i/>
        </w:rPr>
      </w:pPr>
      <w:r w:rsidRPr="00A95D2B">
        <w:rPr>
          <w:b/>
          <w:i/>
        </w:rPr>
        <w:t xml:space="preserve">Proposal </w:t>
      </w:r>
      <w:r>
        <w:rPr>
          <w:b/>
          <w:i/>
        </w:rPr>
        <w:t>4</w:t>
      </w:r>
      <w:r w:rsidRPr="00A95D2B">
        <w:rPr>
          <w:i/>
        </w:rPr>
        <w:t xml:space="preserve">: </w:t>
      </w:r>
      <w:r w:rsidR="000472B1">
        <w:rPr>
          <w:i/>
        </w:rPr>
        <w:t>RAN1 to study UE reporting of UE-specific TA for half-duplex UE in NTN where</w:t>
      </w:r>
    </w:p>
    <w:p w14:paraId="68CF21A3" w14:textId="77777777" w:rsidR="00614BA3" w:rsidRPr="00A95D2B" w:rsidRDefault="00614BA3" w:rsidP="00614BA3">
      <w:pPr>
        <w:pStyle w:val="BodyText"/>
        <w:numPr>
          <w:ilvl w:val="0"/>
          <w:numId w:val="3"/>
        </w:numPr>
        <w:rPr>
          <w:i/>
        </w:rPr>
      </w:pPr>
      <w:r w:rsidRPr="00A95D2B">
        <w:rPr>
          <w:i/>
        </w:rPr>
        <w:t>gNB triggers an autonomous TA report from the UE</w:t>
      </w:r>
    </w:p>
    <w:p w14:paraId="6D4A4A6C" w14:textId="77777777" w:rsidR="00614BA3" w:rsidRPr="00A95D2B" w:rsidRDefault="00614BA3" w:rsidP="00614BA3">
      <w:pPr>
        <w:pStyle w:val="BodyText"/>
        <w:numPr>
          <w:ilvl w:val="0"/>
          <w:numId w:val="3"/>
        </w:numPr>
        <w:rPr>
          <w:i/>
        </w:rPr>
      </w:pPr>
      <w:r w:rsidRPr="00A95D2B">
        <w:rPr>
          <w:i/>
        </w:rPr>
        <w:t xml:space="preserve">UE initiates report autonomous TA report   </w:t>
      </w:r>
    </w:p>
    <w:p w14:paraId="5187AD47" w14:textId="3A37FA87" w:rsidR="005E3275" w:rsidRDefault="005E3275" w:rsidP="005E3275">
      <w:pPr>
        <w:pStyle w:val="BodyText"/>
        <w:jc w:val="center"/>
        <w:rPr>
          <w:color w:val="000000"/>
        </w:rPr>
      </w:pPr>
      <w:r w:rsidRPr="00117A53">
        <w:rPr>
          <w:noProof/>
          <w:color w:val="000000"/>
          <w:lang w:val="en-US"/>
        </w:rPr>
        <w:lastRenderedPageBreak/>
        <mc:AlternateContent>
          <mc:Choice Requires="wps">
            <w:drawing>
              <wp:anchor distT="45720" distB="45720" distL="114300" distR="114300" simplePos="0" relativeHeight="251659264" behindDoc="0" locked="0" layoutInCell="1" allowOverlap="1" wp14:anchorId="1A2063D2" wp14:editId="3DB068B8">
                <wp:simplePos x="0" y="0"/>
                <wp:positionH relativeFrom="column">
                  <wp:posOffset>1178560</wp:posOffset>
                </wp:positionH>
                <wp:positionV relativeFrom="paragraph">
                  <wp:posOffset>43815</wp:posOffset>
                </wp:positionV>
                <wp:extent cx="4320540" cy="2183765"/>
                <wp:effectExtent l="0" t="0" r="22860"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2183765"/>
                        </a:xfrm>
                        <a:prstGeom prst="rect">
                          <a:avLst/>
                        </a:prstGeom>
                        <a:solidFill>
                          <a:srgbClr val="FFFFFF"/>
                        </a:solidFill>
                        <a:ln w="9525">
                          <a:solidFill>
                            <a:srgbClr val="000000"/>
                          </a:solidFill>
                          <a:miter lim="800000"/>
                          <a:headEnd/>
                          <a:tailEnd/>
                        </a:ln>
                      </wps:spPr>
                      <wps:txbx>
                        <w:txbxContent>
                          <w:p w14:paraId="59A88365" w14:textId="77777777" w:rsidR="005E3275" w:rsidRDefault="005E3275" w:rsidP="005E3275">
                            <w:pPr>
                              <w:ind w:left="568"/>
                            </w:pPr>
                            <w:r w:rsidRPr="00117A53">
                              <w:rPr>
                                <w:noProof/>
                                <w:lang w:val="en-US"/>
                              </w:rPr>
                              <w:drawing>
                                <wp:inline distT="0" distB="0" distL="0" distR="0" wp14:anchorId="30C5AD9B" wp14:editId="664295E9">
                                  <wp:extent cx="3769616" cy="2000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347" cy="200700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2063D2" id="_x0000_s1029" type="#_x0000_t202" style="position:absolute;left:0;text-align:left;margin-left:92.8pt;margin-top:3.45pt;width:340.2pt;height:171.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">
                <v:textbox>
                  <w:txbxContent>
                    <w:p w14:paraId="59A88365" w14:textId="77777777" w:rsidR="005E3275" w:rsidRDefault="005E3275" w:rsidP="005E3275">
                      <w:pPr>
                        <w:ind w:left="568"/>
                      </w:pPr>
                      <w:r w:rsidRPr="00117A53">
                        <w:rPr>
                          <w:noProof/>
                          <w:lang w:val="en-US"/>
                        </w:rPr>
                        <w:drawing>
                          <wp:inline distT="0" distB="0" distL="0" distR="0" wp14:anchorId="30C5AD9B" wp14:editId="664295E9">
                            <wp:extent cx="3769616" cy="2000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347" cy="2007007"/>
                                    </a:xfrm>
                                    <a:prstGeom prst="rect">
                                      <a:avLst/>
                                    </a:prstGeom>
                                    <a:noFill/>
                                    <a:ln>
                                      <a:noFill/>
                                    </a:ln>
                                  </pic:spPr>
                                </pic:pic>
                              </a:graphicData>
                            </a:graphic>
                          </wp:inline>
                        </w:drawing>
                      </w:r>
                    </w:p>
                  </w:txbxContent>
                </v:textbox>
                <w10:wrap type="square"/>
              </v:shape>
            </w:pict>
          </mc:Fallback>
        </mc:AlternateContent>
      </w:r>
    </w:p>
    <w:p w14:paraId="7B8AB600" w14:textId="2205F584" w:rsidR="005E3275" w:rsidRDefault="005E3275" w:rsidP="005E3275">
      <w:pPr>
        <w:pStyle w:val="BodyText"/>
        <w:jc w:val="center"/>
        <w:rPr>
          <w:color w:val="000000"/>
        </w:rPr>
      </w:pPr>
    </w:p>
    <w:p w14:paraId="13750BA0" w14:textId="77777777" w:rsidR="005E3275" w:rsidRDefault="005E3275" w:rsidP="005E3275">
      <w:pPr>
        <w:pStyle w:val="BodyText"/>
        <w:rPr>
          <w:color w:val="000000"/>
        </w:rPr>
      </w:pPr>
    </w:p>
    <w:p w14:paraId="0C4BA2B7" w14:textId="77777777" w:rsidR="005E3275" w:rsidRDefault="005E3275" w:rsidP="005E3275">
      <w:pPr>
        <w:pStyle w:val="BodyText"/>
        <w:rPr>
          <w:color w:val="000000"/>
        </w:rPr>
      </w:pPr>
    </w:p>
    <w:p w14:paraId="21A68C77" w14:textId="77777777" w:rsidR="005E3275" w:rsidRDefault="005E3275" w:rsidP="005E3275">
      <w:pPr>
        <w:pStyle w:val="BodyText"/>
        <w:rPr>
          <w:color w:val="000000"/>
        </w:rPr>
      </w:pPr>
    </w:p>
    <w:p w14:paraId="0D6770EC" w14:textId="77777777" w:rsidR="005E3275" w:rsidRDefault="005E3275" w:rsidP="005E3275">
      <w:pPr>
        <w:pStyle w:val="BodyText"/>
        <w:rPr>
          <w:color w:val="000000"/>
        </w:rPr>
      </w:pPr>
    </w:p>
    <w:p w14:paraId="4CADF2B0" w14:textId="77777777" w:rsidR="005E3275" w:rsidRDefault="005E3275" w:rsidP="005E3275">
      <w:pPr>
        <w:pStyle w:val="BodyText"/>
        <w:rPr>
          <w:color w:val="000000"/>
        </w:rPr>
      </w:pPr>
    </w:p>
    <w:p w14:paraId="48442A38" w14:textId="77777777" w:rsidR="005E3275" w:rsidRDefault="005E3275" w:rsidP="005E3275">
      <w:pPr>
        <w:pStyle w:val="BodyText"/>
        <w:rPr>
          <w:color w:val="000000"/>
        </w:rPr>
      </w:pPr>
    </w:p>
    <w:p w14:paraId="7A148FD7" w14:textId="77777777" w:rsidR="005E3275" w:rsidRDefault="005E3275" w:rsidP="005E3275">
      <w:pPr>
        <w:pStyle w:val="BodyText"/>
        <w:rPr>
          <w:color w:val="000000"/>
        </w:rPr>
      </w:pPr>
    </w:p>
    <w:p w14:paraId="679A3315" w14:textId="238E1791" w:rsidR="005E3275" w:rsidRPr="00117A53" w:rsidRDefault="00580D16" w:rsidP="005E3275">
      <w:pPr>
        <w:pStyle w:val="BodyText"/>
        <w:jc w:val="center"/>
        <w:rPr>
          <w:b/>
          <w:i/>
          <w:color w:val="000000"/>
        </w:rPr>
      </w:pPr>
      <w:r>
        <w:rPr>
          <w:b/>
          <w:i/>
          <w:color w:val="000000"/>
        </w:rPr>
        <w:t>Figure 4</w:t>
      </w:r>
      <w:r w:rsidR="005E3275" w:rsidRPr="00117A53">
        <w:rPr>
          <w:b/>
          <w:i/>
          <w:color w:val="000000"/>
        </w:rPr>
        <w:t xml:space="preserve"> TA reporting</w:t>
      </w:r>
    </w:p>
    <w:p w14:paraId="1438B87B" w14:textId="77777777" w:rsidR="000472B1" w:rsidRDefault="000472B1" w:rsidP="00614BA3">
      <w:pPr>
        <w:pStyle w:val="BodyText"/>
      </w:pPr>
    </w:p>
    <w:p w14:paraId="5F09FAE8" w14:textId="12B15EFA" w:rsidR="000472B1" w:rsidRDefault="000472B1" w:rsidP="000472B1">
      <w:pPr>
        <w:pStyle w:val="Heading1"/>
      </w:pPr>
      <w:r>
        <w:t>TA margin</w:t>
      </w:r>
    </w:p>
    <w:p w14:paraId="09598A88" w14:textId="36B9E4AA" w:rsidR="00614BA3" w:rsidRDefault="00614BA3" w:rsidP="00614BA3">
      <w:pPr>
        <w:pStyle w:val="BodyText"/>
      </w:pPr>
      <w:r w:rsidRPr="00F5713C">
        <w:t>Mechanisms currently defined for HD-FDD and TDD UE on which Symbols/Slots/Subframe are used for the UE transition between DL and UL need to be enhanced to support large TA in NTN systems</w:t>
      </w:r>
      <w:r>
        <w:t xml:space="preserve">. It is necessary to use </w:t>
      </w:r>
      <w:r w:rsidRPr="00F5713C">
        <w:t>Guard Period Around the start / end of UL transmission</w:t>
      </w:r>
      <w:r>
        <w:t xml:space="preserve"> to allow RF re-tuning and symbol/slot alig</w:t>
      </w:r>
      <w:r w:rsidR="00580D16">
        <w:t>nment as illustrated in Figure 5</w:t>
      </w:r>
      <w:r>
        <w:t>. This allows to account for the lack of UE-specific TA knowledge by the gNB – i.e. b</w:t>
      </w:r>
      <w:r w:rsidRPr="00EE42DD">
        <w:t>etween the time either the BS estimated the TA and indicated it to the UE, or the UE reported the TA to the BS, the actual value of the TA may change</w:t>
      </w:r>
      <w:r>
        <w:t>.</w:t>
      </w:r>
    </w:p>
    <w:p w14:paraId="4B24377B" w14:textId="02743941" w:rsidR="00614BA3" w:rsidRPr="00106EBB" w:rsidRDefault="00D4657C" w:rsidP="00614BA3">
      <w:pPr>
        <w:pStyle w:val="BodyText"/>
        <w:rPr>
          <w:i/>
          <w:color w:val="000000"/>
        </w:rPr>
      </w:pPr>
      <w:r>
        <w:rPr>
          <w:b/>
          <w:i/>
          <w:color w:val="000000"/>
        </w:rPr>
        <w:t>Proposal 5</w:t>
      </w:r>
      <w:r w:rsidR="00614BA3" w:rsidRPr="00117A53">
        <w:rPr>
          <w:b/>
          <w:i/>
          <w:color w:val="000000"/>
        </w:rPr>
        <w:t>:</w:t>
      </w:r>
      <w:r w:rsidR="00614BA3" w:rsidRPr="00117A53">
        <w:rPr>
          <w:i/>
          <w:color w:val="000000"/>
        </w:rPr>
        <w:t xml:space="preserve"> </w:t>
      </w:r>
      <w:r w:rsidR="00614BA3" w:rsidRPr="00106EBB">
        <w:rPr>
          <w:i/>
          <w:color w:val="000000"/>
        </w:rPr>
        <w:t>Guard Period Around the start / end of UL transmission</w:t>
      </w:r>
      <w:r w:rsidR="00614BA3">
        <w:rPr>
          <w:i/>
          <w:color w:val="000000"/>
        </w:rPr>
        <w:t xml:space="preserve"> is configured.</w:t>
      </w:r>
    </w:p>
    <w:p w14:paraId="47714CBD" w14:textId="77777777" w:rsidR="00614BA3" w:rsidRDefault="00614BA3" w:rsidP="00614BA3">
      <w:pPr>
        <w:pStyle w:val="BodyText"/>
        <w:rPr>
          <w:lang w:val="en-US"/>
        </w:rPr>
      </w:pPr>
      <w:r w:rsidRPr="00F5713C">
        <w:rPr>
          <w:noProof/>
          <w:lang w:val="en-US"/>
        </w:rPr>
        <mc:AlternateContent>
          <mc:Choice Requires="wps">
            <w:drawing>
              <wp:anchor distT="45720" distB="45720" distL="114300" distR="114300" simplePos="0" relativeHeight="251661312" behindDoc="0" locked="0" layoutInCell="1" allowOverlap="1" wp14:anchorId="6FAD6BDB" wp14:editId="6B0FA9CA">
                <wp:simplePos x="0" y="0"/>
                <wp:positionH relativeFrom="column">
                  <wp:posOffset>1242695</wp:posOffset>
                </wp:positionH>
                <wp:positionV relativeFrom="paragraph">
                  <wp:posOffset>182880</wp:posOffset>
                </wp:positionV>
                <wp:extent cx="3530600" cy="1809750"/>
                <wp:effectExtent l="0" t="0" r="1270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0" cy="1809750"/>
                        </a:xfrm>
                        <a:prstGeom prst="rect">
                          <a:avLst/>
                        </a:prstGeom>
                        <a:solidFill>
                          <a:srgbClr val="FFFFFF"/>
                        </a:solidFill>
                        <a:ln w="9525">
                          <a:solidFill>
                            <a:srgbClr val="000000"/>
                          </a:solidFill>
                          <a:miter lim="800000"/>
                          <a:headEnd/>
                          <a:tailEnd/>
                        </a:ln>
                      </wps:spPr>
                      <wps:txbx>
                        <w:txbxContent>
                          <w:p w14:paraId="164C47AF" w14:textId="77777777" w:rsidR="00614BA3" w:rsidRDefault="00614BA3" w:rsidP="00614BA3">
                            <w:pPr>
                              <w:jc w:val="center"/>
                            </w:pPr>
                            <w:r w:rsidRPr="00F5713C">
                              <w:rPr>
                                <w:noProof/>
                                <w:lang w:val="en-US"/>
                              </w:rPr>
                              <w:drawing>
                                <wp:inline distT="0" distB="0" distL="0" distR="0" wp14:anchorId="0F0AEA38" wp14:editId="30C825A9">
                                  <wp:extent cx="3077845" cy="1709420"/>
                                  <wp:effectExtent l="0" t="0" r="8255" b="508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3077845" cy="170942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D6BDB" id="_x0000_s1030" type="#_x0000_t202" style="position:absolute;margin-left:97.85pt;margin-top:14.4pt;width:278pt;height:14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">
                <v:textbox>
                  <w:txbxContent>
                    <w:p w14:paraId="164C47AF" w14:textId="77777777" w:rsidR="00614BA3" w:rsidRDefault="00614BA3" w:rsidP="00614BA3">
                      <w:pPr>
                        <w:jc w:val="center"/>
                      </w:pPr>
                      <w:r w:rsidRPr="00F5713C">
                        <w:rPr>
                          <w:noProof/>
                          <w:lang w:val="en-US"/>
                        </w:rPr>
                        <w:drawing>
                          <wp:inline distT="0" distB="0" distL="0" distR="0" wp14:anchorId="0F0AEA38" wp14:editId="30C825A9">
                            <wp:extent cx="3077845" cy="1709420"/>
                            <wp:effectExtent l="0" t="0" r="8255" b="508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3077845" cy="1709420"/>
                                    </a:xfrm>
                                    <a:prstGeom prst="rect">
                                      <a:avLst/>
                                    </a:prstGeom>
                                  </pic:spPr>
                                </pic:pic>
                              </a:graphicData>
                            </a:graphic>
                          </wp:inline>
                        </w:drawing>
                      </w:r>
                    </w:p>
                  </w:txbxContent>
                </v:textbox>
                <w10:wrap type="square"/>
              </v:shape>
            </w:pict>
          </mc:Fallback>
        </mc:AlternateContent>
      </w:r>
    </w:p>
    <w:p w14:paraId="6099CD71" w14:textId="77777777" w:rsidR="00614BA3" w:rsidRDefault="00614BA3" w:rsidP="00614BA3">
      <w:pPr>
        <w:pStyle w:val="BodyText"/>
        <w:rPr>
          <w:lang w:val="en-US"/>
        </w:rPr>
      </w:pPr>
    </w:p>
    <w:p w14:paraId="076B5FA4" w14:textId="77777777" w:rsidR="00614BA3" w:rsidRDefault="00614BA3" w:rsidP="00614BA3">
      <w:pPr>
        <w:pStyle w:val="BodyText"/>
        <w:rPr>
          <w:lang w:val="en-US"/>
        </w:rPr>
      </w:pPr>
    </w:p>
    <w:p w14:paraId="3D40C628" w14:textId="77777777" w:rsidR="00614BA3" w:rsidRDefault="00614BA3" w:rsidP="00614BA3">
      <w:pPr>
        <w:pStyle w:val="BodyText"/>
        <w:rPr>
          <w:lang w:val="en-US"/>
        </w:rPr>
      </w:pPr>
      <w:r>
        <w:rPr>
          <w:lang w:val="en-US"/>
        </w:rPr>
        <w:tab/>
      </w:r>
    </w:p>
    <w:p w14:paraId="78FED37B" w14:textId="77777777" w:rsidR="00614BA3" w:rsidRDefault="00614BA3" w:rsidP="00614BA3">
      <w:pPr>
        <w:pStyle w:val="BodyText"/>
        <w:rPr>
          <w:lang w:val="en-US"/>
        </w:rPr>
      </w:pPr>
    </w:p>
    <w:p w14:paraId="6304058D" w14:textId="77777777" w:rsidR="00614BA3" w:rsidRDefault="00614BA3" w:rsidP="00614BA3">
      <w:pPr>
        <w:pStyle w:val="BodyText"/>
        <w:rPr>
          <w:lang w:val="en-US"/>
        </w:rPr>
      </w:pPr>
    </w:p>
    <w:p w14:paraId="2C55D368" w14:textId="77777777" w:rsidR="00614BA3" w:rsidRDefault="00614BA3" w:rsidP="00614BA3">
      <w:pPr>
        <w:pStyle w:val="BodyText"/>
        <w:rPr>
          <w:lang w:val="en-US"/>
        </w:rPr>
      </w:pPr>
    </w:p>
    <w:p w14:paraId="739C06CF" w14:textId="77777777" w:rsidR="00614BA3" w:rsidRDefault="00614BA3" w:rsidP="00614BA3">
      <w:pPr>
        <w:pStyle w:val="BodyText"/>
        <w:rPr>
          <w:lang w:val="en-US"/>
        </w:rPr>
      </w:pPr>
    </w:p>
    <w:p w14:paraId="43BE1EB9" w14:textId="7642F170" w:rsidR="00614BA3" w:rsidRPr="00117A53" w:rsidRDefault="00614BA3" w:rsidP="00614BA3">
      <w:pPr>
        <w:pStyle w:val="BodyText"/>
        <w:jc w:val="center"/>
        <w:rPr>
          <w:b/>
          <w:i/>
          <w:color w:val="000000"/>
        </w:rPr>
      </w:pPr>
      <w:r>
        <w:rPr>
          <w:b/>
          <w:i/>
          <w:color w:val="000000"/>
        </w:rPr>
        <w:t>Fig</w:t>
      </w:r>
      <w:r w:rsidR="00580D16">
        <w:rPr>
          <w:b/>
          <w:i/>
          <w:color w:val="000000"/>
        </w:rPr>
        <w:t>ure 5</w:t>
      </w:r>
      <w:r w:rsidRPr="00117A53">
        <w:rPr>
          <w:b/>
          <w:i/>
          <w:color w:val="000000"/>
        </w:rPr>
        <w:t xml:space="preserve"> TA </w:t>
      </w:r>
      <w:r>
        <w:rPr>
          <w:b/>
          <w:i/>
          <w:color w:val="000000"/>
        </w:rPr>
        <w:t>gap</w:t>
      </w:r>
    </w:p>
    <w:p w14:paraId="5775CBF9" w14:textId="77777777" w:rsidR="008D5973" w:rsidRPr="00B06D1E" w:rsidRDefault="008D5973" w:rsidP="0065318B">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71E93B65" w14:textId="77777777" w:rsidR="001162F1" w:rsidRPr="001F01B4" w:rsidRDefault="001162F1" w:rsidP="001162F1">
      <w:pPr>
        <w:pStyle w:val="BodyText"/>
        <w:rPr>
          <w:i/>
        </w:rPr>
      </w:pPr>
      <w:r w:rsidRPr="009763F1">
        <w:rPr>
          <w:b/>
          <w:i/>
        </w:rPr>
        <w:t>Proposal 1</w:t>
      </w:r>
      <w:r>
        <w:rPr>
          <w:i/>
        </w:rPr>
        <w:t xml:space="preserve">: </w:t>
      </w:r>
      <w:r w:rsidRPr="001F01B4">
        <w:rPr>
          <w:i/>
        </w:rPr>
        <w:t>Introduce K_offset to enhance the following timing relationships</w:t>
      </w:r>
      <w:r>
        <w:rPr>
          <w:i/>
        </w:rPr>
        <w:t xml:space="preserve"> for NB-IoT NTN is beneficial</w:t>
      </w:r>
      <w:r w:rsidRPr="001F01B4">
        <w:rPr>
          <w:i/>
        </w:rPr>
        <w:t>:</w:t>
      </w:r>
    </w:p>
    <w:p w14:paraId="1B988D7A" w14:textId="77777777" w:rsidR="001162F1" w:rsidRPr="001F01B4" w:rsidRDefault="001162F1" w:rsidP="001162F1">
      <w:pPr>
        <w:pStyle w:val="BodyText"/>
        <w:numPr>
          <w:ilvl w:val="0"/>
          <w:numId w:val="13"/>
        </w:numPr>
        <w:rPr>
          <w:i/>
        </w:rPr>
      </w:pPr>
      <w:r>
        <w:rPr>
          <w:i/>
        </w:rPr>
        <w:t>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4678377E" w14:textId="77777777" w:rsidR="001162F1" w:rsidRPr="001F01B4" w:rsidRDefault="001162F1" w:rsidP="001162F1">
      <w:pPr>
        <w:pStyle w:val="BodyText"/>
        <w:numPr>
          <w:ilvl w:val="0"/>
          <w:numId w:val="13"/>
        </w:numPr>
        <w:rPr>
          <w:i/>
        </w:rPr>
      </w:pPr>
      <w:r>
        <w:rPr>
          <w:i/>
        </w:rPr>
        <w:t>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0CF5C321" w14:textId="77777777" w:rsidR="001162F1" w:rsidRPr="00D50CCC" w:rsidRDefault="001162F1" w:rsidP="001162F1">
      <w:pPr>
        <w:pStyle w:val="BodyText"/>
        <w:numPr>
          <w:ilvl w:val="0"/>
          <w:numId w:val="13"/>
        </w:numPr>
        <w:rPr>
          <w:i/>
        </w:rPr>
      </w:pPr>
      <w:r>
        <w:rPr>
          <w:i/>
        </w:rPr>
        <w:lastRenderedPageBreak/>
        <w:t xml:space="preserve">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n+k0+</w:t>
      </w:r>
      <w:r w:rsidRPr="00D50CCC">
        <w:rPr>
          <w:i/>
        </w:rPr>
        <w:t>K</w:t>
      </w:r>
      <w:r>
        <w:rPr>
          <w:i/>
        </w:rPr>
        <w:t>_</w:t>
      </w:r>
      <w:r w:rsidRPr="00D50CCC">
        <w:rPr>
          <w:i/>
        </w:rPr>
        <w:t>offset</w:t>
      </w:r>
      <w:r w:rsidRPr="001F01B4">
        <w:rPr>
          <w:i/>
        </w:rPr>
        <w:t>.</w:t>
      </w:r>
    </w:p>
    <w:p w14:paraId="49995E56" w14:textId="77777777" w:rsidR="00447A0B" w:rsidRPr="00F31051" w:rsidRDefault="00447A0B" w:rsidP="00447A0B">
      <w:pPr>
        <w:pStyle w:val="BodyText"/>
        <w:rPr>
          <w:i/>
          <w:color w:val="000000"/>
        </w:rPr>
      </w:pPr>
      <w:r w:rsidRPr="00F31051">
        <w:rPr>
          <w:b/>
          <w:i/>
          <w:color w:val="000000"/>
        </w:rPr>
        <w:t>Observation 1:</w:t>
      </w:r>
      <w:r w:rsidRPr="00F31051">
        <w:rPr>
          <w:i/>
          <w:color w:val="000000"/>
        </w:rPr>
        <w:t xml:space="preserve"> Configuration of a b</w:t>
      </w:r>
      <w:r>
        <w:rPr>
          <w:i/>
          <w:color w:val="000000"/>
        </w:rPr>
        <w:t xml:space="preserve">eam-specific Koffset requires </w:t>
      </w:r>
      <w:r w:rsidRPr="00F31051">
        <w:rPr>
          <w:i/>
          <w:color w:val="000000"/>
        </w:rPr>
        <w:t xml:space="preserve">beam-specific K-offset to be broadcast on SIB increases system information overhead </w:t>
      </w:r>
      <w:r>
        <w:rPr>
          <w:i/>
          <w:color w:val="000000"/>
        </w:rPr>
        <w:t xml:space="preserve">in a satellite cell with moderate number of beams and may be acceptable trade-off between UL scheduler flexibility in initial access and </w:t>
      </w:r>
      <w:r w:rsidRPr="00F31051">
        <w:rPr>
          <w:i/>
          <w:color w:val="000000"/>
        </w:rPr>
        <w:t xml:space="preserve">SIB </w:t>
      </w:r>
      <w:r>
        <w:rPr>
          <w:i/>
          <w:color w:val="000000"/>
        </w:rPr>
        <w:t>overhead.</w:t>
      </w:r>
    </w:p>
    <w:p w14:paraId="5831BD85" w14:textId="77777777" w:rsidR="00D4657C" w:rsidRDefault="00D4657C" w:rsidP="00D4657C">
      <w:pPr>
        <w:pStyle w:val="BodyText"/>
        <w:rPr>
          <w:i/>
        </w:rPr>
      </w:pPr>
      <w:r w:rsidRPr="00624889">
        <w:rPr>
          <w:b/>
          <w:i/>
        </w:rPr>
        <w:t>Observation 2</w:t>
      </w:r>
      <w:r>
        <w:rPr>
          <w:i/>
        </w:rPr>
        <w:t>: For half-duplex UEs (including NB-IoT and HD eMTC), configuring K_offset value to maximum differential TA may cause collision of DL and UL subframes</w:t>
      </w:r>
    </w:p>
    <w:p w14:paraId="07408BD5" w14:textId="77777777" w:rsidR="00D4657C" w:rsidRDefault="00D4657C" w:rsidP="00D4657C">
      <w:pPr>
        <w:pStyle w:val="BodyText"/>
        <w:rPr>
          <w:i/>
        </w:rPr>
      </w:pPr>
      <w:r w:rsidRPr="00624889">
        <w:rPr>
          <w:b/>
          <w:i/>
        </w:rPr>
        <w:t>Observation 3</w:t>
      </w:r>
      <w:r>
        <w:rPr>
          <w:i/>
        </w:rPr>
        <w:t>: For half-duplex UEs (including NB-IoT and HD eMTC), configuring K_offset value to maximum differential TA may cause interruption of DL subframes.</w:t>
      </w:r>
    </w:p>
    <w:p w14:paraId="52412F2A" w14:textId="77777777" w:rsidR="00D4657C" w:rsidRDefault="00D4657C" w:rsidP="00D4657C">
      <w:pPr>
        <w:pStyle w:val="BodyText"/>
        <w:rPr>
          <w:i/>
        </w:rPr>
      </w:pPr>
      <w:r w:rsidRPr="00A54C06">
        <w:rPr>
          <w:b/>
          <w:i/>
        </w:rPr>
        <w:t xml:space="preserve">Observation </w:t>
      </w:r>
      <w:r>
        <w:rPr>
          <w:b/>
          <w:i/>
        </w:rPr>
        <w:t>4</w:t>
      </w:r>
      <w:r w:rsidRPr="00A54C06">
        <w:rPr>
          <w:i/>
        </w:rPr>
        <w:t xml:space="preserve">: </w:t>
      </w:r>
      <w:r>
        <w:rPr>
          <w:i/>
        </w:rPr>
        <w:t>For connected half-duplex UEs (including NB-IoT and HD eMTC),</w:t>
      </w:r>
      <w:r w:rsidRPr="00A54C06">
        <w:rPr>
          <w:i/>
        </w:rPr>
        <w:t xml:space="preserve"> </w:t>
      </w:r>
      <w:r>
        <w:rPr>
          <w:i/>
        </w:rPr>
        <w:t xml:space="preserve">updating </w:t>
      </w:r>
      <w:r w:rsidRPr="00A54C06">
        <w:rPr>
          <w:i/>
        </w:rPr>
        <w:t xml:space="preserve">the </w:t>
      </w:r>
      <w:r>
        <w:rPr>
          <w:i/>
        </w:rPr>
        <w:t xml:space="preserve">K_offset value based on </w:t>
      </w:r>
      <w:r w:rsidRPr="00A54C06">
        <w:rPr>
          <w:i/>
        </w:rPr>
        <w:t xml:space="preserve">UE </w:t>
      </w:r>
      <w:r>
        <w:rPr>
          <w:i/>
        </w:rPr>
        <w:t xml:space="preserve">autonomous </w:t>
      </w:r>
      <w:r w:rsidRPr="00A54C06">
        <w:rPr>
          <w:i/>
        </w:rPr>
        <w:t xml:space="preserve">TA report can avoid collision issue </w:t>
      </w:r>
      <w:r>
        <w:rPr>
          <w:i/>
        </w:rPr>
        <w:t>between DL and UL subframes and interrupted DL subframe issue.</w:t>
      </w:r>
    </w:p>
    <w:p w14:paraId="29BB2E5C" w14:textId="77777777" w:rsidR="00D4657C" w:rsidRPr="00A54C06" w:rsidRDefault="00D4657C" w:rsidP="00D4657C">
      <w:pPr>
        <w:pStyle w:val="BodyText"/>
        <w:rPr>
          <w:i/>
        </w:rPr>
      </w:pPr>
      <w:r w:rsidRPr="000472B1">
        <w:rPr>
          <w:b/>
          <w:i/>
        </w:rPr>
        <w:t xml:space="preserve">Observation </w:t>
      </w:r>
      <w:r>
        <w:rPr>
          <w:b/>
          <w:i/>
        </w:rPr>
        <w:t>5</w:t>
      </w:r>
      <w:r>
        <w:rPr>
          <w:i/>
        </w:rPr>
        <w:t xml:space="preserve">: It is sufficient if </w:t>
      </w:r>
      <w:r>
        <w:rPr>
          <w:color w:val="000000"/>
        </w:rPr>
        <w:t>the UE autonomously acquired TA report is sent by UE about every 20 seconds (=500 µs / 25.33 µs) to avoid DL-UL subframe collision issue in LEO.</w:t>
      </w:r>
    </w:p>
    <w:p w14:paraId="0CEE3992" w14:textId="77777777" w:rsidR="00D4657C" w:rsidRPr="00A95D2B" w:rsidRDefault="00D4657C" w:rsidP="00D4657C">
      <w:pPr>
        <w:pStyle w:val="BodyText"/>
        <w:rPr>
          <w:i/>
        </w:rPr>
      </w:pPr>
      <w:r w:rsidRPr="00A95D2B">
        <w:rPr>
          <w:b/>
          <w:i/>
        </w:rPr>
        <w:t xml:space="preserve">Proposal </w:t>
      </w:r>
      <w:r>
        <w:rPr>
          <w:b/>
          <w:i/>
        </w:rPr>
        <w:t>2</w:t>
      </w:r>
      <w:r w:rsidRPr="00A95D2B">
        <w:rPr>
          <w:i/>
        </w:rPr>
        <w:t>: The value of K</w:t>
      </w:r>
      <w:r>
        <w:rPr>
          <w:i/>
        </w:rPr>
        <w:t>_offset</w:t>
      </w:r>
      <w:r w:rsidRPr="00A95D2B">
        <w:rPr>
          <w:i/>
        </w:rPr>
        <w:t xml:space="preserve"> can be re-configured after RRC connection setup based on UE-specific autonomous TA report.</w:t>
      </w:r>
    </w:p>
    <w:p w14:paraId="2A2347B8" w14:textId="77777777" w:rsidR="00D4657C" w:rsidRPr="00A95D2B" w:rsidRDefault="00D4657C" w:rsidP="00D4657C">
      <w:pPr>
        <w:pStyle w:val="BodyText"/>
        <w:rPr>
          <w:i/>
        </w:rPr>
      </w:pPr>
      <w:r w:rsidRPr="00A95D2B">
        <w:rPr>
          <w:b/>
          <w:i/>
        </w:rPr>
        <w:t xml:space="preserve">Proposal </w:t>
      </w:r>
      <w:r>
        <w:rPr>
          <w:b/>
          <w:i/>
        </w:rPr>
        <w:t>3</w:t>
      </w:r>
      <w:r w:rsidRPr="00A95D2B">
        <w:rPr>
          <w:i/>
        </w:rPr>
        <w:t xml:space="preserve">: The UE </w:t>
      </w:r>
      <w:r>
        <w:rPr>
          <w:i/>
        </w:rPr>
        <w:t xml:space="preserve">can report </w:t>
      </w:r>
      <w:r w:rsidRPr="00A95D2B">
        <w:rPr>
          <w:i/>
        </w:rPr>
        <w:t xml:space="preserve">at least report its autonomous TA to the gNB in Message 3 during initial cell access. </w:t>
      </w:r>
    </w:p>
    <w:p w14:paraId="268321BB" w14:textId="77777777" w:rsidR="00D4657C" w:rsidRPr="00A95D2B" w:rsidRDefault="00D4657C" w:rsidP="00D4657C">
      <w:pPr>
        <w:pStyle w:val="BodyText"/>
        <w:rPr>
          <w:i/>
        </w:rPr>
      </w:pPr>
      <w:r w:rsidRPr="00A95D2B">
        <w:rPr>
          <w:b/>
          <w:i/>
        </w:rPr>
        <w:t xml:space="preserve">Proposal </w:t>
      </w:r>
      <w:r>
        <w:rPr>
          <w:b/>
          <w:i/>
        </w:rPr>
        <w:t>4</w:t>
      </w:r>
      <w:r w:rsidRPr="00A95D2B">
        <w:rPr>
          <w:i/>
        </w:rPr>
        <w:t xml:space="preserve">: </w:t>
      </w:r>
      <w:r>
        <w:rPr>
          <w:i/>
        </w:rPr>
        <w:t>RAN1 to study UE reporting of UE-specific TA for half-duplex UE in NTN where</w:t>
      </w:r>
    </w:p>
    <w:p w14:paraId="0FB1CC24" w14:textId="77777777" w:rsidR="00D4657C" w:rsidRPr="00A95D2B" w:rsidRDefault="00D4657C" w:rsidP="00D4657C">
      <w:pPr>
        <w:pStyle w:val="BodyText"/>
        <w:numPr>
          <w:ilvl w:val="0"/>
          <w:numId w:val="3"/>
        </w:numPr>
        <w:rPr>
          <w:i/>
        </w:rPr>
      </w:pPr>
      <w:r w:rsidRPr="00A95D2B">
        <w:rPr>
          <w:i/>
        </w:rPr>
        <w:t>gNB triggers an autonomous TA report from the UE</w:t>
      </w:r>
    </w:p>
    <w:p w14:paraId="32F14650" w14:textId="77777777" w:rsidR="00D4657C" w:rsidRPr="00A95D2B" w:rsidRDefault="00D4657C" w:rsidP="00D4657C">
      <w:pPr>
        <w:pStyle w:val="BodyText"/>
        <w:numPr>
          <w:ilvl w:val="0"/>
          <w:numId w:val="3"/>
        </w:numPr>
        <w:rPr>
          <w:i/>
        </w:rPr>
      </w:pPr>
      <w:r w:rsidRPr="00A95D2B">
        <w:rPr>
          <w:i/>
        </w:rPr>
        <w:t xml:space="preserve">UE initiates report autonomous TA report   </w:t>
      </w:r>
    </w:p>
    <w:p w14:paraId="368865CE" w14:textId="77777777" w:rsidR="00492E80" w:rsidRPr="00FE0E3F" w:rsidRDefault="00492E80"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77777777" w:rsidR="00225E8F" w:rsidRPr="00EF51BB" w:rsidRDefault="00225E8F" w:rsidP="00225E8F">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30F6E16" w14:textId="6233E4DB" w:rsidR="00264F41" w:rsidRDefault="00FC197A" w:rsidP="00D64E04">
      <w:pPr>
        <w:pStyle w:val="ListParagraph"/>
        <w:numPr>
          <w:ilvl w:val="0"/>
          <w:numId w:val="2"/>
        </w:numPr>
        <w:rPr>
          <w:lang w:val="en-US"/>
        </w:rPr>
      </w:pPr>
      <w:r w:rsidRPr="005F175B">
        <w:rPr>
          <w:lang w:val="en-US"/>
        </w:rPr>
        <w:t>TR 38.821 “Solutions for NR to support non-terrestrial networks”</w:t>
      </w: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608C5" w14:textId="77777777" w:rsidR="006F0265" w:rsidRDefault="006F0265">
      <w:r>
        <w:separator/>
      </w:r>
    </w:p>
  </w:endnote>
  <w:endnote w:type="continuationSeparator" w:id="0">
    <w:p w14:paraId="2C5704D2" w14:textId="77777777" w:rsidR="006F0265" w:rsidRDefault="006F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4282E" w14:textId="77777777" w:rsidR="006F0265" w:rsidRDefault="006F0265">
      <w:r>
        <w:separator/>
      </w:r>
    </w:p>
  </w:footnote>
  <w:footnote w:type="continuationSeparator" w:id="0">
    <w:p w14:paraId="5F9ADA3D" w14:textId="77777777" w:rsidR="006F0265" w:rsidRDefault="006F02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EE2100"/>
    <w:multiLevelType w:val="hybridMultilevel"/>
    <w:tmpl w:val="E692259C"/>
    <w:lvl w:ilvl="0" w:tplc="9F480BC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5A6F9B"/>
    <w:multiLevelType w:val="hybridMultilevel"/>
    <w:tmpl w:val="BAC6B160"/>
    <w:lvl w:ilvl="0" w:tplc="308CC130">
      <w:start w:val="1"/>
      <w:numFmt w:val="bullet"/>
      <w:lvlText w:val="–"/>
      <w:lvlJc w:val="left"/>
      <w:pPr>
        <w:tabs>
          <w:tab w:val="num" w:pos="720"/>
        </w:tabs>
        <w:ind w:left="720" w:hanging="360"/>
      </w:pPr>
      <w:rPr>
        <w:rFonts w:ascii="Calibri Light" w:hAnsi="Calibri Light" w:hint="default"/>
      </w:rPr>
    </w:lvl>
    <w:lvl w:ilvl="1" w:tplc="C8A02CA6">
      <w:start w:val="1"/>
      <w:numFmt w:val="bullet"/>
      <w:lvlText w:val="–"/>
      <w:lvlJc w:val="left"/>
      <w:pPr>
        <w:tabs>
          <w:tab w:val="num" w:pos="1440"/>
        </w:tabs>
        <w:ind w:left="1440" w:hanging="360"/>
      </w:pPr>
      <w:rPr>
        <w:rFonts w:ascii="Calibri Light" w:hAnsi="Calibri Light" w:hint="default"/>
      </w:rPr>
    </w:lvl>
    <w:lvl w:ilvl="2" w:tplc="6226DF00" w:tentative="1">
      <w:start w:val="1"/>
      <w:numFmt w:val="bullet"/>
      <w:lvlText w:val="–"/>
      <w:lvlJc w:val="left"/>
      <w:pPr>
        <w:tabs>
          <w:tab w:val="num" w:pos="2160"/>
        </w:tabs>
        <w:ind w:left="2160" w:hanging="360"/>
      </w:pPr>
      <w:rPr>
        <w:rFonts w:ascii="Calibri Light" w:hAnsi="Calibri Light" w:hint="default"/>
      </w:rPr>
    </w:lvl>
    <w:lvl w:ilvl="3" w:tplc="A538FC3E" w:tentative="1">
      <w:start w:val="1"/>
      <w:numFmt w:val="bullet"/>
      <w:lvlText w:val="–"/>
      <w:lvlJc w:val="left"/>
      <w:pPr>
        <w:tabs>
          <w:tab w:val="num" w:pos="2880"/>
        </w:tabs>
        <w:ind w:left="2880" w:hanging="360"/>
      </w:pPr>
      <w:rPr>
        <w:rFonts w:ascii="Calibri Light" w:hAnsi="Calibri Light" w:hint="default"/>
      </w:rPr>
    </w:lvl>
    <w:lvl w:ilvl="4" w:tplc="9E7803FC" w:tentative="1">
      <w:start w:val="1"/>
      <w:numFmt w:val="bullet"/>
      <w:lvlText w:val="–"/>
      <w:lvlJc w:val="left"/>
      <w:pPr>
        <w:tabs>
          <w:tab w:val="num" w:pos="3600"/>
        </w:tabs>
        <w:ind w:left="3600" w:hanging="360"/>
      </w:pPr>
      <w:rPr>
        <w:rFonts w:ascii="Calibri Light" w:hAnsi="Calibri Light" w:hint="default"/>
      </w:rPr>
    </w:lvl>
    <w:lvl w:ilvl="5" w:tplc="575E0DAE" w:tentative="1">
      <w:start w:val="1"/>
      <w:numFmt w:val="bullet"/>
      <w:lvlText w:val="–"/>
      <w:lvlJc w:val="left"/>
      <w:pPr>
        <w:tabs>
          <w:tab w:val="num" w:pos="4320"/>
        </w:tabs>
        <w:ind w:left="4320" w:hanging="360"/>
      </w:pPr>
      <w:rPr>
        <w:rFonts w:ascii="Calibri Light" w:hAnsi="Calibri Light" w:hint="default"/>
      </w:rPr>
    </w:lvl>
    <w:lvl w:ilvl="6" w:tplc="0EE003C4" w:tentative="1">
      <w:start w:val="1"/>
      <w:numFmt w:val="bullet"/>
      <w:lvlText w:val="–"/>
      <w:lvlJc w:val="left"/>
      <w:pPr>
        <w:tabs>
          <w:tab w:val="num" w:pos="5040"/>
        </w:tabs>
        <w:ind w:left="5040" w:hanging="360"/>
      </w:pPr>
      <w:rPr>
        <w:rFonts w:ascii="Calibri Light" w:hAnsi="Calibri Light" w:hint="default"/>
      </w:rPr>
    </w:lvl>
    <w:lvl w:ilvl="7" w:tplc="ED962310" w:tentative="1">
      <w:start w:val="1"/>
      <w:numFmt w:val="bullet"/>
      <w:lvlText w:val="–"/>
      <w:lvlJc w:val="left"/>
      <w:pPr>
        <w:tabs>
          <w:tab w:val="num" w:pos="5760"/>
        </w:tabs>
        <w:ind w:left="5760" w:hanging="360"/>
      </w:pPr>
      <w:rPr>
        <w:rFonts w:ascii="Calibri Light" w:hAnsi="Calibri Light" w:hint="default"/>
      </w:rPr>
    </w:lvl>
    <w:lvl w:ilvl="8" w:tplc="742890C6"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940AC"/>
    <w:multiLevelType w:val="hybridMultilevel"/>
    <w:tmpl w:val="819250CA"/>
    <w:lvl w:ilvl="0" w:tplc="CA165740">
      <w:start w:val="1"/>
      <w:numFmt w:val="bullet"/>
      <w:lvlText w:val="•"/>
      <w:lvlJc w:val="left"/>
      <w:pPr>
        <w:tabs>
          <w:tab w:val="num" w:pos="720"/>
        </w:tabs>
        <w:ind w:left="720" w:hanging="360"/>
      </w:pPr>
      <w:rPr>
        <w:rFonts w:ascii="Arial" w:hAnsi="Arial" w:hint="default"/>
      </w:rPr>
    </w:lvl>
    <w:lvl w:ilvl="1" w:tplc="980ED36A">
      <w:start w:val="23"/>
      <w:numFmt w:val="bullet"/>
      <w:lvlText w:val="–"/>
      <w:lvlJc w:val="left"/>
      <w:pPr>
        <w:tabs>
          <w:tab w:val="num" w:pos="1440"/>
        </w:tabs>
        <w:ind w:left="1440" w:hanging="360"/>
      </w:pPr>
      <w:rPr>
        <w:rFonts w:ascii="Calibri Light" w:hAnsi="Calibri Light" w:hint="default"/>
      </w:rPr>
    </w:lvl>
    <w:lvl w:ilvl="2" w:tplc="439C12C2" w:tentative="1">
      <w:start w:val="1"/>
      <w:numFmt w:val="bullet"/>
      <w:lvlText w:val="•"/>
      <w:lvlJc w:val="left"/>
      <w:pPr>
        <w:tabs>
          <w:tab w:val="num" w:pos="2160"/>
        </w:tabs>
        <w:ind w:left="2160" w:hanging="360"/>
      </w:pPr>
      <w:rPr>
        <w:rFonts w:ascii="Arial" w:hAnsi="Arial" w:hint="default"/>
      </w:rPr>
    </w:lvl>
    <w:lvl w:ilvl="3" w:tplc="14DC8F8E" w:tentative="1">
      <w:start w:val="1"/>
      <w:numFmt w:val="bullet"/>
      <w:lvlText w:val="•"/>
      <w:lvlJc w:val="left"/>
      <w:pPr>
        <w:tabs>
          <w:tab w:val="num" w:pos="2880"/>
        </w:tabs>
        <w:ind w:left="2880" w:hanging="360"/>
      </w:pPr>
      <w:rPr>
        <w:rFonts w:ascii="Arial" w:hAnsi="Arial" w:hint="default"/>
      </w:rPr>
    </w:lvl>
    <w:lvl w:ilvl="4" w:tplc="B2387E16" w:tentative="1">
      <w:start w:val="1"/>
      <w:numFmt w:val="bullet"/>
      <w:lvlText w:val="•"/>
      <w:lvlJc w:val="left"/>
      <w:pPr>
        <w:tabs>
          <w:tab w:val="num" w:pos="3600"/>
        </w:tabs>
        <w:ind w:left="3600" w:hanging="360"/>
      </w:pPr>
      <w:rPr>
        <w:rFonts w:ascii="Arial" w:hAnsi="Arial" w:hint="default"/>
      </w:rPr>
    </w:lvl>
    <w:lvl w:ilvl="5" w:tplc="7B4C7DD6" w:tentative="1">
      <w:start w:val="1"/>
      <w:numFmt w:val="bullet"/>
      <w:lvlText w:val="•"/>
      <w:lvlJc w:val="left"/>
      <w:pPr>
        <w:tabs>
          <w:tab w:val="num" w:pos="4320"/>
        </w:tabs>
        <w:ind w:left="4320" w:hanging="360"/>
      </w:pPr>
      <w:rPr>
        <w:rFonts w:ascii="Arial" w:hAnsi="Arial" w:hint="default"/>
      </w:rPr>
    </w:lvl>
    <w:lvl w:ilvl="6" w:tplc="FD205E14" w:tentative="1">
      <w:start w:val="1"/>
      <w:numFmt w:val="bullet"/>
      <w:lvlText w:val="•"/>
      <w:lvlJc w:val="left"/>
      <w:pPr>
        <w:tabs>
          <w:tab w:val="num" w:pos="5040"/>
        </w:tabs>
        <w:ind w:left="5040" w:hanging="360"/>
      </w:pPr>
      <w:rPr>
        <w:rFonts w:ascii="Arial" w:hAnsi="Arial" w:hint="default"/>
      </w:rPr>
    </w:lvl>
    <w:lvl w:ilvl="7" w:tplc="A0624810" w:tentative="1">
      <w:start w:val="1"/>
      <w:numFmt w:val="bullet"/>
      <w:lvlText w:val="•"/>
      <w:lvlJc w:val="left"/>
      <w:pPr>
        <w:tabs>
          <w:tab w:val="num" w:pos="5760"/>
        </w:tabs>
        <w:ind w:left="5760" w:hanging="360"/>
      </w:pPr>
      <w:rPr>
        <w:rFonts w:ascii="Arial" w:hAnsi="Arial" w:hint="default"/>
      </w:rPr>
    </w:lvl>
    <w:lvl w:ilvl="8" w:tplc="F7E0F2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9C304B2"/>
    <w:multiLevelType w:val="hybridMultilevel"/>
    <w:tmpl w:val="9E7691CC"/>
    <w:lvl w:ilvl="0" w:tplc="C770A134">
      <w:start w:val="1"/>
      <w:numFmt w:val="bullet"/>
      <w:lvlText w:val="•"/>
      <w:lvlJc w:val="left"/>
      <w:pPr>
        <w:tabs>
          <w:tab w:val="num" w:pos="720"/>
        </w:tabs>
        <w:ind w:left="720" w:hanging="360"/>
      </w:pPr>
      <w:rPr>
        <w:rFonts w:ascii="Arial" w:hAnsi="Arial" w:hint="default"/>
      </w:rPr>
    </w:lvl>
    <w:lvl w:ilvl="1" w:tplc="EAFAFB98">
      <w:start w:val="23"/>
      <w:numFmt w:val="bullet"/>
      <w:lvlText w:val="–"/>
      <w:lvlJc w:val="left"/>
      <w:pPr>
        <w:tabs>
          <w:tab w:val="num" w:pos="1440"/>
        </w:tabs>
        <w:ind w:left="1440" w:hanging="360"/>
      </w:pPr>
      <w:rPr>
        <w:rFonts w:ascii="Calibri Light" w:hAnsi="Calibri Light" w:hint="default"/>
      </w:rPr>
    </w:lvl>
    <w:lvl w:ilvl="2" w:tplc="BC6AC0F0" w:tentative="1">
      <w:start w:val="1"/>
      <w:numFmt w:val="bullet"/>
      <w:lvlText w:val="•"/>
      <w:lvlJc w:val="left"/>
      <w:pPr>
        <w:tabs>
          <w:tab w:val="num" w:pos="2160"/>
        </w:tabs>
        <w:ind w:left="2160" w:hanging="360"/>
      </w:pPr>
      <w:rPr>
        <w:rFonts w:ascii="Arial" w:hAnsi="Arial" w:hint="default"/>
      </w:rPr>
    </w:lvl>
    <w:lvl w:ilvl="3" w:tplc="628C10F4" w:tentative="1">
      <w:start w:val="1"/>
      <w:numFmt w:val="bullet"/>
      <w:lvlText w:val="•"/>
      <w:lvlJc w:val="left"/>
      <w:pPr>
        <w:tabs>
          <w:tab w:val="num" w:pos="2880"/>
        </w:tabs>
        <w:ind w:left="2880" w:hanging="360"/>
      </w:pPr>
      <w:rPr>
        <w:rFonts w:ascii="Arial" w:hAnsi="Arial" w:hint="default"/>
      </w:rPr>
    </w:lvl>
    <w:lvl w:ilvl="4" w:tplc="DF9615F4" w:tentative="1">
      <w:start w:val="1"/>
      <w:numFmt w:val="bullet"/>
      <w:lvlText w:val="•"/>
      <w:lvlJc w:val="left"/>
      <w:pPr>
        <w:tabs>
          <w:tab w:val="num" w:pos="3600"/>
        </w:tabs>
        <w:ind w:left="3600" w:hanging="360"/>
      </w:pPr>
      <w:rPr>
        <w:rFonts w:ascii="Arial" w:hAnsi="Arial" w:hint="default"/>
      </w:rPr>
    </w:lvl>
    <w:lvl w:ilvl="5" w:tplc="823239FC" w:tentative="1">
      <w:start w:val="1"/>
      <w:numFmt w:val="bullet"/>
      <w:lvlText w:val="•"/>
      <w:lvlJc w:val="left"/>
      <w:pPr>
        <w:tabs>
          <w:tab w:val="num" w:pos="4320"/>
        </w:tabs>
        <w:ind w:left="4320" w:hanging="360"/>
      </w:pPr>
      <w:rPr>
        <w:rFonts w:ascii="Arial" w:hAnsi="Arial" w:hint="default"/>
      </w:rPr>
    </w:lvl>
    <w:lvl w:ilvl="6" w:tplc="D05A868A" w:tentative="1">
      <w:start w:val="1"/>
      <w:numFmt w:val="bullet"/>
      <w:lvlText w:val="•"/>
      <w:lvlJc w:val="left"/>
      <w:pPr>
        <w:tabs>
          <w:tab w:val="num" w:pos="5040"/>
        </w:tabs>
        <w:ind w:left="5040" w:hanging="360"/>
      </w:pPr>
      <w:rPr>
        <w:rFonts w:ascii="Arial" w:hAnsi="Arial" w:hint="default"/>
      </w:rPr>
    </w:lvl>
    <w:lvl w:ilvl="7" w:tplc="C3B8147E" w:tentative="1">
      <w:start w:val="1"/>
      <w:numFmt w:val="bullet"/>
      <w:lvlText w:val="•"/>
      <w:lvlJc w:val="left"/>
      <w:pPr>
        <w:tabs>
          <w:tab w:val="num" w:pos="5760"/>
        </w:tabs>
        <w:ind w:left="5760" w:hanging="360"/>
      </w:pPr>
      <w:rPr>
        <w:rFonts w:ascii="Arial" w:hAnsi="Arial" w:hint="default"/>
      </w:rPr>
    </w:lvl>
    <w:lvl w:ilvl="8" w:tplc="983A57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
  </w:num>
  <w:num w:numId="4">
    <w:abstractNumId w:val="0"/>
  </w:num>
  <w:num w:numId="5">
    <w:abstractNumId w:val="5"/>
  </w:num>
  <w:num w:numId="6">
    <w:abstractNumId w:val="13"/>
  </w:num>
  <w:num w:numId="7">
    <w:abstractNumId w:val="2"/>
  </w:num>
  <w:num w:numId="8">
    <w:abstractNumId w:val="11"/>
  </w:num>
  <w:num w:numId="9">
    <w:abstractNumId w:val="14"/>
  </w:num>
  <w:num w:numId="10">
    <w:abstractNumId w:val="15"/>
  </w:num>
  <w:num w:numId="11">
    <w:abstractNumId w:val="7"/>
  </w:num>
  <w:num w:numId="12">
    <w:abstractNumId w:val="4"/>
  </w:num>
  <w:num w:numId="13">
    <w:abstractNumId w:val="12"/>
  </w:num>
  <w:num w:numId="14">
    <w:abstractNumId w:val="6"/>
  </w:num>
  <w:num w:numId="15">
    <w:abstractNumId w:val="10"/>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B1"/>
    <w:rsid w:val="000472D9"/>
    <w:rsid w:val="00047DB7"/>
    <w:rsid w:val="00047F44"/>
    <w:rsid w:val="00052DFA"/>
    <w:rsid w:val="00053BDB"/>
    <w:rsid w:val="00053C5F"/>
    <w:rsid w:val="00054D06"/>
    <w:rsid w:val="00054DDD"/>
    <w:rsid w:val="00055697"/>
    <w:rsid w:val="00056973"/>
    <w:rsid w:val="000576A7"/>
    <w:rsid w:val="00057DC0"/>
    <w:rsid w:val="000626D9"/>
    <w:rsid w:val="000635FA"/>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B6363"/>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2F1"/>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C7D"/>
    <w:rsid w:val="00172031"/>
    <w:rsid w:val="00173323"/>
    <w:rsid w:val="00173918"/>
    <w:rsid w:val="0017415A"/>
    <w:rsid w:val="00174296"/>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01B4"/>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467C"/>
    <w:rsid w:val="002E576B"/>
    <w:rsid w:val="002E5799"/>
    <w:rsid w:val="002E5EFC"/>
    <w:rsid w:val="002E6BC6"/>
    <w:rsid w:val="002E7579"/>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F79"/>
    <w:rsid w:val="00384502"/>
    <w:rsid w:val="00385844"/>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6F76"/>
    <w:rsid w:val="00427DBF"/>
    <w:rsid w:val="00427FC6"/>
    <w:rsid w:val="00436340"/>
    <w:rsid w:val="00436526"/>
    <w:rsid w:val="00442F6C"/>
    <w:rsid w:val="004439C6"/>
    <w:rsid w:val="00444225"/>
    <w:rsid w:val="00445D09"/>
    <w:rsid w:val="00445D1B"/>
    <w:rsid w:val="00447A0B"/>
    <w:rsid w:val="004502EA"/>
    <w:rsid w:val="004514DE"/>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0DF1"/>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3D3D"/>
    <w:rsid w:val="005455E3"/>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522"/>
    <w:rsid w:val="005806AA"/>
    <w:rsid w:val="00580D16"/>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3275"/>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4BA3"/>
    <w:rsid w:val="00617472"/>
    <w:rsid w:val="00617873"/>
    <w:rsid w:val="00621321"/>
    <w:rsid w:val="00622066"/>
    <w:rsid w:val="006226BC"/>
    <w:rsid w:val="00624011"/>
    <w:rsid w:val="00624889"/>
    <w:rsid w:val="006258C4"/>
    <w:rsid w:val="006272B6"/>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8BA"/>
    <w:rsid w:val="00654F94"/>
    <w:rsid w:val="006557C0"/>
    <w:rsid w:val="00656D64"/>
    <w:rsid w:val="0065702D"/>
    <w:rsid w:val="00657084"/>
    <w:rsid w:val="00662682"/>
    <w:rsid w:val="0066275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7E8"/>
    <w:rsid w:val="00695826"/>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E0979"/>
    <w:rsid w:val="006E30A3"/>
    <w:rsid w:val="006E3251"/>
    <w:rsid w:val="006E4526"/>
    <w:rsid w:val="006E50C9"/>
    <w:rsid w:val="006E6BF4"/>
    <w:rsid w:val="006E6C0F"/>
    <w:rsid w:val="006E7B14"/>
    <w:rsid w:val="006F0265"/>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B70"/>
    <w:rsid w:val="007A488E"/>
    <w:rsid w:val="007A723E"/>
    <w:rsid w:val="007B0E4F"/>
    <w:rsid w:val="007B19E9"/>
    <w:rsid w:val="007B1F25"/>
    <w:rsid w:val="007B290F"/>
    <w:rsid w:val="007B2CD3"/>
    <w:rsid w:val="007B2D72"/>
    <w:rsid w:val="007B2E9F"/>
    <w:rsid w:val="007B40A9"/>
    <w:rsid w:val="007B4A25"/>
    <w:rsid w:val="007B54D9"/>
    <w:rsid w:val="007B55E9"/>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763F1"/>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4C06"/>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67FAD"/>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BF72C5"/>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57882"/>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57C"/>
    <w:rsid w:val="00D46AF6"/>
    <w:rsid w:val="00D47D83"/>
    <w:rsid w:val="00D5065F"/>
    <w:rsid w:val="00D50CCC"/>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2DA7"/>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4CD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252"/>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9F6498F-AA9C-427C-B5C4-BCA508F6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7756</TotalTime>
  <Pages>5</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11188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496</cp:revision>
  <cp:lastPrinted>2017-11-03T15:53:00Z</cp:lastPrinted>
  <dcterms:created xsi:type="dcterms:W3CDTF">2018-08-07T07:16:00Z</dcterms:created>
  <dcterms:modified xsi:type="dcterms:W3CDTF">2021-01-16T19:18:00Z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